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5A57B4">
        <w:rPr>
          <w:rFonts w:ascii="Arial" w:hAnsi="Arial" w:cs="Arial"/>
          <w:b/>
          <w:bCs/>
        </w:rPr>
        <w:t>Zarządzenie nr 0050.48.2021</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5A57B4">
        <w:rPr>
          <w:rFonts w:ascii="Arial" w:hAnsi="Arial" w:cs="Arial"/>
          <w:b/>
          <w:bCs/>
        </w:rPr>
        <w:t>Wójta Gminy Lubanie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r w:rsidRPr="005A57B4">
        <w:rPr>
          <w:rFonts w:ascii="Arial" w:hAnsi="Arial" w:cs="Arial"/>
          <w:b/>
          <w:bCs/>
        </w:rPr>
        <w:t>z dnia 15 listopada 2021 roku</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5A57B4">
        <w:rPr>
          <w:rFonts w:ascii="Arial" w:hAnsi="Arial" w:cs="Arial"/>
          <w:b/>
          <w:bCs/>
        </w:rPr>
        <w:t>w sprawie przyjęcia projektu Wieloletniej Prognozy Finansowej na lata 2022 - 2029</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 xml:space="preserve"> </w:t>
      </w:r>
      <w:r w:rsidRPr="005A57B4">
        <w:rPr>
          <w:rFonts w:ascii="Arial" w:hAnsi="Arial" w:cs="Arial"/>
        </w:rPr>
        <w:tab/>
        <w:t xml:space="preserve">Na podstawie   art.  30  ustawy  z  dnia  8  marca 1990  roku  o  samorządzie  gminnym (tekst jednolity Dz. U.  z 2021  roku  poz. 1372  i  poz. 1834 ) oraz   art.  230   ust.  1  i  2  ustawy   z dnia   27  sierpnia  2009  roku  o  finansach  publicznych (tekst  jednolity Dz. U.  z  2021  roku  poz. 305,  poz. 1236,  poz. 1535, poz. 1773, poz. 1927 i poz. 1981)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zarządza, co następuje: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1</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 xml:space="preserve">Przyjąć  projekt  Wieloletniej  Prognozy  Finansowej  na  lata  2022  -  2029  zgodnie  z  załącznikami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nr 1 i 2.</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2</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Przyjęty projekt Wieloletniej Prognozy Finansowej na lata 2022 - 2029 przedłożyć:</w:t>
      </w:r>
    </w:p>
    <w:p w:rsidR="001260D4" w:rsidRPr="005A57B4" w:rsidRDefault="001260D4" w:rsidP="001260D4">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Radzie Gminy Lubanie w celu dalszego nadania biegu prac nad jej uchwaleniem.</w:t>
      </w:r>
    </w:p>
    <w:p w:rsidR="001260D4" w:rsidRPr="005A57B4" w:rsidRDefault="001260D4" w:rsidP="001260D4">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Regionalnej Izbie Obrachunkowej w Bydgoszczy Zespół we Włocławku celem wydania stosownej opinii.</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3</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rPr>
      </w:pPr>
      <w:r w:rsidRPr="005A57B4">
        <w:rPr>
          <w:rFonts w:ascii="Arial" w:hAnsi="Arial" w:cs="Arial"/>
        </w:rPr>
        <w:t>Zarządzenie wchodzi w życie z dniem podjęcia.</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rPr>
      </w:pPr>
      <w:r w:rsidRPr="005A57B4">
        <w:rPr>
          <w:rFonts w:ascii="Arial" w:hAnsi="Arial" w:cs="Arial"/>
          <w:b/>
          <w:bCs/>
        </w:rPr>
        <w:t xml:space="preserve"> PROJEKT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Uchwała Nr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Rady Gminy Lubanie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z dnia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xml:space="preserve">w sprawie uchwalenia Wieloletniej Prognozy Finansowej Gminy Lubanie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na lata 2022 - 2029</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ab/>
        <w:t xml:space="preserve">  Na    podstawie  art.  226,  art.  227,  art.  228,  art.  230,  ust.  6   i  art.  243  ustawy  z  dnia 27  sierpnia  2009  roku  o  finansach  publicznych  ( tekst  jednolity  Dz. U. z  2021  roku  poz. 305, poz. 1236, poz. 1535, poz. 1773, poz. 1927 i poz. 1981)  oraz  art.  18   ust.  2  pkt. 6  ustawy  z dnia   8   marca  1990  roku  o samorządzie  gminnym  ( tekst   jednolity  Dz.  U.  z   2021  roku  poz.  1372  i poz. 1834 )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rPr>
      </w:pPr>
      <w:r w:rsidRPr="005A57B4">
        <w:rPr>
          <w:rFonts w:ascii="Arial" w:hAnsi="Arial" w:cs="Arial"/>
        </w:rPr>
        <w:t>Rada Gminy postanawia:</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1</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Uchwalić   Wieloletnią   Prognozę   Finansową   Gminy   Lubanie   na   lata   2022  -   2029   zgodnie  z załącznikiem nr 1 do uchwały.</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2</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Określić wykaz przedsięwzięć realizowanych w latach 2022 - 2025 zgodnie z załącznikiem nr 2 do uchwały.</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3</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1.  Upoważnić    Wójta     Gminy      do      zaciągnięcia     zobowiązań     związanych     z     realizacją</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 xml:space="preserve">      przedsięwzięć określonych w załączniku nr 2 do uchwały.</w:t>
      </w:r>
    </w:p>
    <w:p w:rsidR="001260D4" w:rsidRPr="005A57B4" w:rsidRDefault="001260D4" w:rsidP="001260D4">
      <w:pPr>
        <w:widowControl w:val="0"/>
        <w:tabs>
          <w:tab w:val="left" w:pos="481"/>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481" w:hanging="481"/>
        <w:jc w:val="both"/>
        <w:rPr>
          <w:rFonts w:ascii="Arial" w:hAnsi="Arial" w:cs="Arial"/>
        </w:rPr>
      </w:pPr>
      <w:r w:rsidRPr="005A57B4">
        <w:rPr>
          <w:rFonts w:ascii="Arial" w:hAnsi="Arial" w:cs="Arial"/>
        </w:rPr>
        <w:t>2.  Upoważnić   Wójta   Gminy  do  zaciągnięcia   zobowiązań   z  tytułu   umów,   których  realizacja</w:t>
      </w:r>
    </w:p>
    <w:p w:rsidR="001260D4" w:rsidRPr="005A57B4" w:rsidRDefault="001260D4" w:rsidP="001260D4">
      <w:pPr>
        <w:widowControl w:val="0"/>
        <w:tabs>
          <w:tab w:val="left" w:pos="453"/>
          <w:tab w:val="left" w:pos="481"/>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481" w:hanging="481"/>
        <w:jc w:val="both"/>
        <w:rPr>
          <w:rFonts w:ascii="Arial" w:hAnsi="Arial" w:cs="Arial"/>
        </w:rPr>
      </w:pPr>
      <w:r w:rsidRPr="005A57B4">
        <w:rPr>
          <w:rFonts w:ascii="Arial" w:hAnsi="Arial" w:cs="Arial"/>
        </w:rPr>
        <w:t xml:space="preserve">     w    roku   budżetowym   i   w   latach   następnych   jest    niezbędna    do   zapewnienia   ciągłości</w:t>
      </w:r>
    </w:p>
    <w:p w:rsidR="001260D4" w:rsidRPr="005A57B4" w:rsidRDefault="001260D4" w:rsidP="001260D4">
      <w:pPr>
        <w:widowControl w:val="0"/>
        <w:tabs>
          <w:tab w:val="left" w:pos="453"/>
          <w:tab w:val="left" w:pos="481"/>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481" w:hanging="481"/>
        <w:jc w:val="both"/>
        <w:rPr>
          <w:rFonts w:ascii="Arial" w:hAnsi="Arial" w:cs="Arial"/>
        </w:rPr>
      </w:pPr>
      <w:r w:rsidRPr="005A57B4">
        <w:rPr>
          <w:rFonts w:ascii="Arial" w:hAnsi="Arial" w:cs="Arial"/>
        </w:rPr>
        <w:t xml:space="preserve">     działania    gminy    i   z    których   wynikające   płatności   wykraczają    poza    rok  </w:t>
      </w:r>
      <w:r w:rsidRPr="005A57B4">
        <w:rPr>
          <w:rFonts w:ascii="Arial" w:hAnsi="Arial" w:cs="Arial"/>
        </w:rPr>
        <w:lastRenderedPageBreak/>
        <w:t>budżetowy.</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3.  Upoważnić   Wójta   Gminy   do   przekazania   uprawnień   w    zakresie  zaciągania   zobowiązań </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określonych    w   §   3    ust.   1    i   2    uchwały,     kierownikom     jednostek     organizacyjnych </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realizującym   przedsięwzięcia   ujęte   w   załączniku   nr   2  oraz  w   zakresie  umów,  z   których</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wynikają  zobowiązania  zaliczane do  tytułu   dłużnego,  o  którym mowa  w  art. 72 ust. 1  pkt. 2  </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ustawy o  finansach  publicznych  (Dz. U. z  2021 roku  poz. 305, poz. 1236,  poz. 1535, poz. 1773,      poz. 1927 i poz. 1981).</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4. Upoważnić  Wójta  Gminy  do  dokonywania  zmian  limitów  zobowiązań  i  kwot wydatków  na    </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realizację   przedsięwzięcia   finansowego    z   udziałem   środków  europejskich  albo   środków,</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o   których   mowa    w   art.   5   ust.   1   pkt.  3,   w   związku   ze   zmianami   w  realizacji   tego</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przedsięwzięcia,   o  ile  zmiany  te   nie   pogorszą   wyniku   budżetu  dla każdego roku objętego</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wieloletnią    prognozą   finansową.   Upoważnienie     to   obejmuje    także   upoważnienie    do</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dokonywania       zmian      środków      przeznaczonych       na      współfinansowanie     realizacji </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przedsięwzięć,    o    których    mowa    w     zdaniu    pierwszym,    w    tym    wkładu   własnego</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beneficjenta,     oraz     wynikających     z     rozstrzygniętych    konkursów,   o    których   mowa</w:t>
      </w:r>
    </w:p>
    <w:p w:rsidR="001260D4" w:rsidRPr="005A57B4" w:rsidRDefault="001260D4" w:rsidP="001260D4">
      <w:pPr>
        <w:widowControl w:val="0"/>
        <w:tabs>
          <w:tab w:val="left" w:pos="453"/>
          <w:tab w:val="left" w:pos="566"/>
          <w:tab w:val="left" w:pos="935"/>
          <w:tab w:val="left" w:pos="1275"/>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rPr>
      </w:pPr>
      <w:r w:rsidRPr="005A57B4">
        <w:rPr>
          <w:rFonts w:ascii="Arial" w:hAnsi="Arial" w:cs="Arial"/>
        </w:rPr>
        <w:t xml:space="preserve">    w art. 38  ust. 1 </w:t>
      </w:r>
      <w:proofErr w:type="spellStart"/>
      <w:r w:rsidRPr="005A57B4">
        <w:rPr>
          <w:rFonts w:ascii="Arial" w:hAnsi="Arial" w:cs="Arial"/>
        </w:rPr>
        <w:t>pkt</w:t>
      </w:r>
      <w:proofErr w:type="spellEnd"/>
      <w:r w:rsidRPr="005A57B4">
        <w:rPr>
          <w:rFonts w:ascii="Arial" w:hAnsi="Arial" w:cs="Arial"/>
        </w:rPr>
        <w:t xml:space="preserve"> 1 ustawy z dnia 11 lipca 2014 roku o zasadach realizacji programów w zakresie     polityki spójności finansowanych w perspektywie finansowej 2014-2020 (</w:t>
      </w:r>
      <w:proofErr w:type="spellStart"/>
      <w:r w:rsidRPr="005A57B4">
        <w:rPr>
          <w:rFonts w:ascii="Arial" w:hAnsi="Arial" w:cs="Arial"/>
        </w:rPr>
        <w:t>Dz.U</w:t>
      </w:r>
      <w:proofErr w:type="spellEnd"/>
      <w:r w:rsidRPr="005A57B4">
        <w:rPr>
          <w:rFonts w:ascii="Arial" w:hAnsi="Arial" w:cs="Arial"/>
        </w:rPr>
        <w:t>. 2020. poz. 818).</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4</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 xml:space="preserve">Uchylić   uchwałę   Nr   XVI/152/2020   Rady   Gminy   Lubanie   z   dnia   22  grudnia   2020   roku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w   sprawie  uchwalenia  Wieloletniej Prognozy  Finansowej  Gminy   Lubanie  na   lata  2021 - 2028  wraz ze zmianami.</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5</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r w:rsidRPr="005A57B4">
        <w:rPr>
          <w:rFonts w:ascii="Arial" w:hAnsi="Arial" w:cs="Arial"/>
        </w:rPr>
        <w:t>Wykonanie uchwały powierza się Wójtowi Gminy Lubanie.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xml:space="preserve">    § 6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rPr>
      </w:pPr>
      <w:r w:rsidRPr="005A57B4">
        <w:rPr>
          <w:rFonts w:ascii="Arial" w:hAnsi="Arial" w:cs="Arial"/>
        </w:rPr>
        <w:t>Uchwała wchodzi w życie z dniem 1 stycznia 2022 roku i podlega podaniu do publicznej wiadomości poprzez ogłoszenie w Biuletynie Informacji Publicznej Urzędu Gminy Lubanie.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r w:rsidRPr="005A57B4">
        <w:rPr>
          <w:rFonts w:ascii="Arial" w:hAnsi="Arial" w:cs="Arial"/>
          <w:b/>
          <w:bCs/>
        </w:rPr>
        <w:t xml:space="preserve">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xml:space="preserve"> UZASADNIENIE</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rPr>
      </w:pP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 xml:space="preserve">do projektu uchwały w sprawie uchwalenia Wieloletniej Prognozy Finansowej </w:t>
      </w:r>
    </w:p>
    <w:p w:rsidR="001260D4" w:rsidRPr="005A57B4" w:rsidRDefault="001260D4" w:rsidP="00126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rPr>
      </w:pPr>
      <w:r w:rsidRPr="005A57B4">
        <w:rPr>
          <w:rFonts w:ascii="Arial" w:hAnsi="Arial" w:cs="Arial"/>
          <w:b/>
          <w:bCs/>
        </w:rPr>
        <w:t>Gminy Lubanie na lata 2022 - 2029</w:t>
      </w:r>
    </w:p>
    <w:p w:rsidR="001260D4" w:rsidRPr="005A57B4" w:rsidRDefault="001260D4" w:rsidP="001260D4">
      <w:pPr>
        <w:widowControl w:val="0"/>
        <w:autoSpaceDE w:val="0"/>
        <w:autoSpaceDN w:val="0"/>
        <w:adjustRightInd w:val="0"/>
        <w:spacing w:after="0" w:line="360" w:lineRule="auto"/>
        <w:jc w:val="center"/>
        <w:rPr>
          <w:rFonts w:ascii="Arial" w:hAnsi="Arial" w:cs="Arial"/>
          <w:b/>
          <w:bCs/>
        </w:rPr>
      </w:pP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b/>
          <w:bCs/>
        </w:rPr>
        <w:tab/>
      </w:r>
      <w:r w:rsidRPr="005A57B4">
        <w:rPr>
          <w:rFonts w:ascii="Arial" w:hAnsi="Arial" w:cs="Arial"/>
        </w:rPr>
        <w:t>Ustawa z dnia</w:t>
      </w:r>
      <w:r w:rsidRPr="005A57B4">
        <w:rPr>
          <w:rFonts w:ascii="Arial" w:hAnsi="Arial" w:cs="Arial"/>
          <w:b/>
          <w:bCs/>
        </w:rPr>
        <w:t xml:space="preserve"> </w:t>
      </w:r>
      <w:r w:rsidRPr="005A57B4">
        <w:rPr>
          <w:rFonts w:ascii="Arial" w:hAnsi="Arial" w:cs="Arial"/>
        </w:rPr>
        <w:t xml:space="preserve">27 sierpnia 2009 roku o finansach publicznych nałożyła na jednostki samorządu terytorialnego uchwalenie Wieloletniej Prognozy Finansowej.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Zgodnie z art. 227 wspominanej ustawy wieloletnia prognoza finansowa obejmuje co najmniej 4 lata budżetowe (dany rok i kolejne 3 lata), nie krócej niż na okres, na jaki przyjęto limity wydatków na przedsięwzięcia wieloletnie.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Elementem prognozy finansowej jest prognoza kwoty długu, którą sporządza się na  okres,  na  który  zaciągnięto  lub  planuje  się  zaciągnąć  zobowiązania  z tytułu pożyczek i kredytów. Gmina Lubanie posiada zobowiązania z tytułu pożyczki i kredytów zaciągniętych na realizację zadań inwestycyjnych na okres do 2027 roku a planowane do zaciągnięcia zobowiązania przewiduje się uregulować w 2028 i 2029 roku. Dlatego Wieloletnia Prognoza Finansowa obejmuje swym zakresem lata 2022 - 2029 tj. do ostatecznego terminu spłaty długu.</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Kolejnym niezbędnym elementem wieloletniej prognozy finansowej jest załącznik </w:t>
      </w:r>
      <w:r w:rsidRPr="005A57B4">
        <w:rPr>
          <w:rFonts w:ascii="Arial" w:hAnsi="Arial" w:cs="Arial"/>
        </w:rPr>
        <w:lastRenderedPageBreak/>
        <w:t>określający   realizowane   przedsięwzięcia,  w   tym   limity   wydatków   w    poszczególnych   latach i zobowiązań, który obejmuje lata 2022 - 2025.</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Proponowane         upoważnienia        do        zaciągania       zobowiązań        wynikają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z obowiązujących przepisów, w porównaniu do 2021 roku nie ulegają zmianie i dotyczą:</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 xml:space="preserve">- zaciągania zobowiązań związanych z realizacją przedsięwzięć określonych w załączniku nr 2 do </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 xml:space="preserve">  uchwały,</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 zaciągania zobowiązań z tytułu umów, z których płatności wykraczają poza rok budżetowy,</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 xml:space="preserve">- przekazywania  uprawnień  w  zakresie  zaciągania  zobowiązań  kierownikom  jednostek </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 xml:space="preserve">   organizacyjnych gminy,</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 upoważnienie do dokonywania zmian limitów zobowiązań i kwot wydatków na realizację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przedsięwzięcia  finansowego  z  udziałem  środków  europejskich  albo  środków, o których mowa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w art. 5 ust. 1 pkt. 3, w związku ze zmianami w realizacji tego przedsięwzięcia, o ile zmiany te nie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pogorszą wyniku budżetu dla każdego roku objętego wieloletnią prognozą finansową.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Upoważnienie to obejmuje także upoważnienie do dokonywania zmian środków przeznaczonych na     współfinansowanie realizacji przedsięwzięć, o których mowa w zdaniu pierwszym, w tym wkładu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własnego beneficjenta, oraz wynikających z  rozstrzygniętych konkursów, o których mowa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w art. 38 ust. 1 </w:t>
      </w:r>
      <w:proofErr w:type="spellStart"/>
      <w:r w:rsidRPr="005A57B4">
        <w:rPr>
          <w:rFonts w:ascii="Arial" w:hAnsi="Arial" w:cs="Arial"/>
        </w:rPr>
        <w:t>pkt</w:t>
      </w:r>
      <w:proofErr w:type="spellEnd"/>
      <w:r w:rsidRPr="005A57B4">
        <w:rPr>
          <w:rFonts w:ascii="Arial" w:hAnsi="Arial" w:cs="Arial"/>
        </w:rPr>
        <w:t xml:space="preserve"> 1 ustawy z dnia 11 lipca 2014 roku o zasadach realizacji programów w zakresie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  polityki spójności finansowanych w perspektywie finansowej 2014-2020 (</w:t>
      </w:r>
      <w:proofErr w:type="spellStart"/>
      <w:r w:rsidRPr="005A57B4">
        <w:rPr>
          <w:rFonts w:ascii="Arial" w:hAnsi="Arial" w:cs="Arial"/>
        </w:rPr>
        <w:t>Dz.U</w:t>
      </w:r>
      <w:proofErr w:type="spellEnd"/>
      <w:r w:rsidRPr="005A57B4">
        <w:rPr>
          <w:rFonts w:ascii="Arial" w:hAnsi="Arial" w:cs="Arial"/>
        </w:rPr>
        <w:t>. 2020. poz. 818).</w:t>
      </w:r>
    </w:p>
    <w:p w:rsidR="001260D4" w:rsidRPr="005A57B4" w:rsidRDefault="001260D4" w:rsidP="001260D4">
      <w:pPr>
        <w:widowControl w:val="0"/>
        <w:autoSpaceDE w:val="0"/>
        <w:autoSpaceDN w:val="0"/>
        <w:adjustRightInd w:val="0"/>
        <w:spacing w:after="0" w:line="360" w:lineRule="auto"/>
        <w:jc w:val="both"/>
        <w:rPr>
          <w:rFonts w:ascii="Arial" w:hAnsi="Arial" w:cs="Arial"/>
        </w:rPr>
      </w:pPr>
    </w:p>
    <w:p w:rsidR="001260D4" w:rsidRPr="005A57B4" w:rsidRDefault="001260D4" w:rsidP="001260D4">
      <w:pPr>
        <w:widowControl w:val="0"/>
        <w:autoSpaceDE w:val="0"/>
        <w:autoSpaceDN w:val="0"/>
        <w:adjustRightInd w:val="0"/>
        <w:spacing w:after="0" w:line="360" w:lineRule="auto"/>
        <w:jc w:val="both"/>
        <w:rPr>
          <w:rFonts w:ascii="Arial" w:hAnsi="Arial" w:cs="Arial"/>
        </w:rPr>
      </w:pP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Niniejszy projekt stanowi nową uchwałę w sprawie Wieloletniej Prognozy Finansowej, która jednocześnie uchyla poprzednią uchwałę w tej sprawie.</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W    wieloletniej   prognozie    finansowej   dochody   budżetu    zostały   przedstawione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w    szczegółowości    zgodnej    z   ustawą   o  finansach   publicznych   z   podziałem   na    bieżące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i majątkowe.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Prognozowane dochody budżetowe na 2022 rok są zgodne z projektem uchwały budżetowej  w sprawie uchwalenia budżetu i wynoszą 28.391.790,98 zł w tym dochody bieżące zaplanowano         w wysokości 19.958.163,34 zł a plan dochodów majątkowych </w:t>
      </w:r>
      <w:r w:rsidRPr="005A57B4">
        <w:rPr>
          <w:rFonts w:ascii="Arial" w:hAnsi="Arial" w:cs="Arial"/>
        </w:rPr>
        <w:lastRenderedPageBreak/>
        <w:t>stanowi kwotę 8.433.627,64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Planowane kwoty dochodów związanych z realizacją zadań z zakresu administracji rządowej oraz dotacji celowych przeznaczonych na realizację zadań z zakresu administracji rządowej, zadań własnych  i  realizowanych  na  podstawie  porozumień  z  organami  administracji rządowej wynikają z decyzji Wojewody Kujawsko - Pomorskiego z dnia 22 października 2021 roku. Natomiast decyzją Krajowego Biura Wyborczego Delegatury we Włocławku  z dnia 21 października 2021 roku określono kwoty dotacji celowej na wydatki związane z prowadzeniem i aktualizacją stałego rejestru wyborców. Plan dotacji w porównaniu do poprzednich lat jest zaniżony z powodu zmiany przepisów ustawowych.  Zaplanowane dotacje na wypłatę świadczenia wychowawczego w ramach programu "Rodzina 500+" są niższe niż w 2021 roku, gdyż będą wypłacane przez gminy tylko do końca okresu na jaki zostały przyznane, czyli do końca maja 2022 roku. Ponadto w dochodach bieżących nie planuje się dotacji na wypłatę świadczenia "Dobry Start" ponieważ dochody te zostały wyeliminowane            z budżetu samorządów a wypłatą zajmuje się Zakład Ubezpieczeń Społecznych.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Dochody z tytułu subwencji podobnie jak planowane udziały w podatku dochodowym   od osób fizycznych i od osób prawnych na 2022 rok zostały przyjęte zgodnie z otrzymaną informacją       z Ministerstwa Finansów, Funduszy i Polityki Regionalnej. Przy planowaniu części oświatowej subwencji ogólnej na kolejne lata uwzględniono postępujący niż demograficzny i oszacowano subwencje oświatową z tendencją spadkową.</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Dla potrzeb opracowania wieloletniej prognozy finansowej brano pod uwagę wskaźniki makroekonomiczne będące podstawą oszacowania skutków finansowych projektowanych ustaw określone w zaktualizowanych wytycznych Ministerstwa Finansów (ostatnia aktualizacja - sierpień  2021 rok). Dochody budżetowe na lata 2023 - 2029  zaplanowano przy założeniu wzrostu dochodów własnych w wysokości niższej niż wskaźnik inflacji (do 1,0% w porównaniu do roku poprzedniego).  Na 2022 rok zaplanowano dochody budżetowe w kwocie 28.391.790,98 zł z tego dochody bieżące stanowią kwotę 19.958.163,34 zł a plan dochodów majątkowych zamknął się kwotą 8.433.627,64 zł. Od 2023  roku nie planuje się dochodów  majątkowych,  w  tym  ze  sprzedaży  mienia  komunalnego  i z tytułu dotacji oraz środków przeznaczonych na inwestycje.</w:t>
      </w:r>
    </w:p>
    <w:p w:rsidR="001260D4" w:rsidRPr="005A57B4" w:rsidRDefault="001260D4" w:rsidP="001260D4">
      <w:pPr>
        <w:widowControl w:val="0"/>
        <w:autoSpaceDE w:val="0"/>
        <w:autoSpaceDN w:val="0"/>
        <w:adjustRightInd w:val="0"/>
        <w:spacing w:after="0" w:line="360" w:lineRule="auto"/>
        <w:rPr>
          <w:rFonts w:ascii="Arial" w:hAnsi="Arial" w:cs="Arial"/>
        </w:rPr>
      </w:pP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Planowane dochody budżetowe w kolejnych latach objętych prognozą przedstawiają się następująco:</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2023 rok - 18.759.216,00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2024 rok - 18.923.507,00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2025 rok - 19.088.852,00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2026 rok - 19.254.455,00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lastRenderedPageBreak/>
        <w:t>2027 rok - 19.422.909,00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2028 rok - 19.592.800,00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2029 rok - 19.700.000,00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Zaplanowane wydatki budżetowe na 2022 rok są zgodne z projektem uchwały budżetowej      w sprawie uchwalenia budżetu i wynoszą 29.589.790,98 zł w tym wydatki bieżące zaplanowano        w wysokości 19.454.529,30 zł natomiast plan wydatków majątkowych stanowi kwotę     10.135.261,68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Planując wydatki budżetowe zakładano, dalsze ograniczenie wydatków bieżących  natomiast plan wydatków na zadania majątkowe zwiększano od 2024 roku w miarę możliwości. Wydatki na wynagrodzenia i składki od nich naliczane zawarte w kol. nr 2.1.1. załącznika nr 1 do projektu uchwały  zwiększano  do  3% . Wydatki   na    obsługę  długu   obejmują   odsetki   od    zaciągniętych i planowanych do zaciągnięcia zobowiązań finansowych.</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Plan wydatków budżetowych wskazano poniżej:</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2023 rok - 18.234.216,00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2024 rok - 18.398.507,00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2025 rok - 18.553.852,00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2026 rok - 18.729.455,00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2027 rok - 18.952.909,00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2028 rok - 18.842.800,00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2029 rok - 19.188.026,94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Relacja zrównoważenia wydatków bieżących, o której mowa w art. 242 ustawy o finansach publicznych została spełniona, tzn. że w całym prognozowanym okresie różnice między dochodami bieżącymi a wydatkami bieżącymi zostały odpowiednio zachowane.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Wynik budżetu w prognozowanym okresie jest ściśle powiązany z przyjętymi założeniami do prognozy dochodów i wydatków. Fakt prognozowania w oparciu o dane makroekonomiczne               o niewielkiej zmienności powoduje zrównoważony i stabilny wzrost dochodów oraz wydatków bieżących, któremu można przypisać cechy statystyczne.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Planowany wynik finansowy budżetu na 2022 rok to deficyt w wysokości     1.198.000,00 zł, który zostanie pokryty przychodami z tytułu planowanych do zaciągnięcia kredytów lub pożyczek oraz wolnymi środkami, o których mowa w art. 217 ust. 2 pkt. 6 ustawy w kwocie 448.000,00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W 2022 roku przychody z tytułu planowanych do zaciągnięcia zobowiązań finansowych wynoszą 1.261.973,06 zł z tego na spłatę zobowiązań przypadających do uregulowania w 2022 roku  planuje się kredyt w kwocie 511.973,06 zł. Ponadto zaplanowano przychody z tytułu kredytu              w wysokości 400.000,00 zł jako wkład własny z przeznaczeniem na realizację zadań inwestycyjnych w ramach zadań z zakresu </w:t>
      </w:r>
      <w:r w:rsidRPr="005A57B4">
        <w:rPr>
          <w:rFonts w:ascii="Arial" w:hAnsi="Arial" w:cs="Arial"/>
        </w:rPr>
        <w:lastRenderedPageBreak/>
        <w:t xml:space="preserve">infrastruktury drogowej ujętych w Programie Inwestycji Strategicznych - Rządowego Funduszu Polski Ład. Na realizację inwestycji pn: "Budowa ogólnodostępnego parku rozrywki przy budownictwie mieszkaniowym w miejscowości Probostwo Dolne" zaplanowano zaciągnięcie zobowiązania finansowego w wysokości 350.000,00 zł.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Planowane nadwyżki budżetowe w okresie lat 2023 - 2029 objęte Wieloletnią Prognozą Finansową  przeznaczone zostaną na spłatę rat kapitałowych kredytów bankowych i pożyczek i w kolejnych latach przedstawiają się następująco:</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2023 rok -   525.000,00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2024 rok -   525.000,00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2025 rok -   535.000,00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2026 rok -   525.000,00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2027 rok -   470.000,00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2028 rok -   750.000,00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2029  rok - 511.973,06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Na obsługę długu w poszczególnych latach planuje się następujące kwoty:</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2022 rok - 100.000,00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2023 rok - 100.000,00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2024 rok -   90.000,00 zł,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2025 rok -   80.000,00 </w:t>
      </w:r>
      <w:proofErr w:type="spellStart"/>
      <w:r w:rsidRPr="005A57B4">
        <w:rPr>
          <w:rFonts w:ascii="Arial" w:hAnsi="Arial" w:cs="Arial"/>
        </w:rPr>
        <w:t>zl</w:t>
      </w:r>
      <w:proofErr w:type="spellEnd"/>
      <w:r w:rsidRPr="005A57B4">
        <w:rPr>
          <w:rFonts w:ascii="Arial" w:hAnsi="Arial" w:cs="Arial"/>
        </w:rPr>
        <w:t>,</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2026 rok -   60.000,00 zł,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2027 rok -   50.000,00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2028 tok -   40.000,00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2029 rok -   40.000,00 zł.</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Wielkość długu publicznego w stosunku do dochodów budżetowych przedstawia się jak niżej (stan na 31 grudnia każdego roku):</w:t>
      </w:r>
    </w:p>
    <w:p w:rsidR="001260D4" w:rsidRPr="005A57B4" w:rsidRDefault="001260D4" w:rsidP="001260D4">
      <w:pPr>
        <w:widowControl w:val="0"/>
        <w:autoSpaceDE w:val="0"/>
        <w:autoSpaceDN w:val="0"/>
        <w:adjustRightInd w:val="0"/>
        <w:spacing w:after="0" w:line="360" w:lineRule="auto"/>
        <w:rPr>
          <w:rFonts w:ascii="Arial" w:hAnsi="Arial" w:cs="Arial"/>
        </w:rPr>
      </w:pPr>
      <w:r w:rsidRPr="005A57B4">
        <w:rPr>
          <w:rFonts w:ascii="Arial" w:hAnsi="Arial" w:cs="Arial"/>
        </w:rPr>
        <w:t>2022 rok - 3.841.973,06 zł, to jest 13,53% rocznych dochodów budżetowych,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2023 rok - 3.316.973,06 zł, to jest  17,68% rocznych dochodów budżetowych,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2024 rok - 2.791.973,06 zł, to jest 14,75% rocznych dochodów budżetowych,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2025 rok - 2.256.973,06 zł, to jest 11,82% rocznych dochodów budżetowych,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2026 rok - 1.731.973,06 zł, to jest   9,00% rocznych dochodów budżetowych,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2027 rok - 1.261.973,06 zł, to jest   6,50% rocznych dochodów budżetowych,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2028 rok -    511.973,06 zł, to jest   2,61% rocznych dochodów budżetowych,</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 xml:space="preserve">2029 rok -               0,00 zł. </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W latach 2022 - 2029 nie zaplanowano wydatków bieżących z tytułu udzielonych  poręczeń     i gwarancji.</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 xml:space="preserve">Wieloletnia prognoza finansowa w oparciu o prognozę parametrów budżetowych, zapewniając zgodność danych z ustawą z dnia 27 sierpnia 2009 roku o finansach </w:t>
      </w:r>
      <w:r w:rsidRPr="005A57B4">
        <w:rPr>
          <w:rFonts w:ascii="Arial" w:hAnsi="Arial" w:cs="Arial"/>
        </w:rPr>
        <w:lastRenderedPageBreak/>
        <w:t>publicznych, pozwala na analizę realnych możliwości finansowych oraz ocenę rzeczywistych możliwości zaciągania i spłaty zadłużenia Gminy Lubanie.</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Zgodnie z art. 243 ust. 1 wspomnianej ustawy od 1 stycznia 2014 roku obowiązuje indywidualny wskaźnik zadłużenia dla jednostek samorządu terytorialnego. Według przepisów roczna wartość spłat zobowiązań i ich obsługi do planowanych dochodów budżetowych nie może przekroczyć wskaźnika  opartego  na  średniej arytmetycznej z obliczonych dla ostatnich 3 lat relacji dochodów bieżących, powiększonych o wpływy uzyskane ze sprzedaży majątku oraz pomniejszonych o wydatki bieżące, do dochodów ogółem. Na 2022 rok relacja określona po lewej stronie nierówności we wzorze, o którym mowa w art. 243 ust. 1 ustawy wynosi 3,68%. Natomiast relacja określona po prawej stronie nierówności we wzorze (wskaźnik jednoroczny) wynosi odpowiednio 3,64% i 3,85%. Dopuszczalny limit spłaty zobowiązań określony po prawej stronie nierówności we wzorze, o którym mowa w art. 243 ustawy wynosi dla naszej Gminy 12,72% (w  oparciu o plan 3  kwartału roku poprzedzającego pierwszy rok prognozy jak i w oparciu o wykonanie roku poprzedzającego).</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Ustawa z dnia 14 października 2021 roku o zmianie ustawy o dochodach jednostek samorządu  terytorialnego  wprowadza  istotne  zmiany  mające  wpływ na wyliczenie relacji art. 242  i art. 243 ustawy o finansach publicznych, które będą miały zastosowanie po raz pierwszy do uchwały               w sprawie wieloletniej prognozy finansowej na 2022 rok.</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Zgodnie z art. 7 wspomnianej wyżej ustawy organ wykonawczy jednostki samorządu terytorialnego dokonuje wyboru długości okresu stosowanego do wyliczenia relacji, o której mowa     w art. 243 ust.1 ustawy o finansach publicznych. O dokonanym wyborze (wariant 3 lub 7 lat) organ wykonawczy poinformuje w terminie do 31 grudnia 2021 roku.</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Zaplanowane dochody są możliwe do zrealizowania przy pomocy prawidłowej realizacji dochodów własnych oraz przy niewielkim wzroście stawek wymiarowych albo przy pozyskiwaniu nowych  podatników. Aby spełnić założenia wynikające z art. 243 należy ograniczać wydatki bieżące  co  jest  trudne ze względu  na  pojawiające  się  nowe  ustawowe  zadania  własne dla  gmin a przede wszystkim zwiększające się wydatki na oświatę i pomoc społeczną.  Finanse samorządu gminnego obowiązują reguły wydatkowe wyznaczające nieprzekraczalne limity wydatków.</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Utrzymanie stabilnej sytuacji finansowej Gminy Lubanie przy jednoczesnym utrzymaniu wysokiego poziomu jakości usług gminnych, dalszy rozwój Gminy przy maksymalnym wykorzystaniu środków   zewnętrznych   oraz   ograniczanie   przyrostu   zadłużenia  to  cele   na  etapie  planowania   i realizacji budżetu Gminy Lubanie.</w:t>
      </w:r>
    </w:p>
    <w:p w:rsidR="001260D4" w:rsidRPr="005A57B4" w:rsidRDefault="001260D4" w:rsidP="001260D4">
      <w:pPr>
        <w:widowControl w:val="0"/>
        <w:autoSpaceDE w:val="0"/>
        <w:autoSpaceDN w:val="0"/>
        <w:adjustRightInd w:val="0"/>
        <w:spacing w:after="0" w:line="360" w:lineRule="auto"/>
        <w:jc w:val="both"/>
        <w:rPr>
          <w:rFonts w:ascii="Arial" w:hAnsi="Arial" w:cs="Arial"/>
        </w:rPr>
      </w:pPr>
      <w:r w:rsidRPr="005A57B4">
        <w:rPr>
          <w:rFonts w:ascii="Arial" w:hAnsi="Arial" w:cs="Arial"/>
        </w:rPr>
        <w:tab/>
        <w:t>Kończąc powyższe uzasadnienie do projektu uchwały wnoszę do Regionalnej Izby    Obrachunkowej  o  wydanie  opinii  oraz   Radę  Gminy  o  podjęcie   uchwały  o  treści  wynikającej   z projektu.</w:t>
      </w:r>
    </w:p>
    <w:p w:rsidR="001260D4" w:rsidRPr="005A57B4" w:rsidRDefault="001260D4" w:rsidP="001260D4">
      <w:pPr>
        <w:widowControl w:val="0"/>
        <w:autoSpaceDE w:val="0"/>
        <w:autoSpaceDN w:val="0"/>
        <w:adjustRightInd w:val="0"/>
        <w:spacing w:after="0" w:line="240" w:lineRule="auto"/>
        <w:rPr>
          <w:rFonts w:ascii="Arial" w:hAnsi="Arial" w:cs="Arial"/>
        </w:rPr>
      </w:pPr>
    </w:p>
    <w:p w:rsidR="00EA5C90" w:rsidRPr="005A57B4" w:rsidRDefault="00EA5C90">
      <w:pPr>
        <w:rPr>
          <w:rFonts w:ascii="Arial" w:hAnsi="Arial" w:cs="Arial"/>
        </w:rPr>
      </w:pPr>
    </w:p>
    <w:sectPr w:rsidR="00EA5C90" w:rsidRPr="005A57B4" w:rsidSect="00590B4B">
      <w:pgSz w:w="11909" w:h="16834"/>
      <w:pgMar w:top="1417" w:right="1417" w:bottom="1417" w:left="1417" w:header="720" w:footer="720" w:gutter="0"/>
      <w:cols w:space="708"/>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rPr>
        <w:rFonts w:ascii="Times New Roman" w:hAnsi="Times New Roman" w:cs="Times New Roman"/>
        <w:b w:val="0"/>
        <w:bCs w:val="0"/>
        <w:i w:val="0"/>
        <w:iCs w:val="0"/>
        <w:strike w:val="0"/>
        <w:color w:val="auto"/>
        <w:sz w:val="22"/>
        <w:szCs w:val="22"/>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2"/>
        <w:szCs w:val="22"/>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2"/>
        <w:szCs w:val="22"/>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2"/>
        <w:szCs w:val="22"/>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2"/>
        <w:szCs w:val="22"/>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2"/>
        <w:szCs w:val="22"/>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2"/>
        <w:szCs w:val="22"/>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2"/>
        <w:szCs w:val="22"/>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2"/>
        <w:szCs w:val="2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60D4"/>
    <w:rsid w:val="001260D4"/>
    <w:rsid w:val="003444B4"/>
    <w:rsid w:val="005A57B4"/>
    <w:rsid w:val="00A942F8"/>
    <w:rsid w:val="00EA5C9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5C9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1260D4"/>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2536</Words>
  <Characters>15219</Characters>
  <Application>Microsoft Office Word</Application>
  <DocSecurity>0</DocSecurity>
  <Lines>126</Lines>
  <Paragraphs>35</Paragraphs>
  <ScaleCrop>false</ScaleCrop>
  <Company>Microsoft</Company>
  <LinksUpToDate>false</LinksUpToDate>
  <CharactersWithSpaces>17720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dc:creator>
  <cp:lastModifiedBy>Piotrek</cp:lastModifiedBy>
  <cp:revision>3</cp:revision>
  <dcterms:created xsi:type="dcterms:W3CDTF">2021-11-19T12:58:00Z</dcterms:created>
  <dcterms:modified xsi:type="dcterms:W3CDTF">2021-11-22T10:10:00Z</dcterms:modified>
</cp:coreProperties>
</file>