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33" w:rsidRPr="00561427" w:rsidRDefault="00C14F9F" w:rsidP="005A2F20">
      <w:pPr>
        <w:jc w:val="center"/>
        <w:rPr>
          <w:rFonts w:ascii="Arial" w:hAnsi="Arial" w:cs="Arial"/>
          <w:b/>
          <w:sz w:val="22"/>
          <w:szCs w:val="22"/>
        </w:rPr>
      </w:pPr>
      <w:r w:rsidRPr="00561427">
        <w:rPr>
          <w:rFonts w:ascii="Arial" w:hAnsi="Arial" w:cs="Arial"/>
          <w:b/>
          <w:sz w:val="22"/>
          <w:szCs w:val="22"/>
        </w:rPr>
        <w:t>Zarządzenie nr 0050.56.</w:t>
      </w:r>
      <w:r w:rsidR="00AB2AAF" w:rsidRPr="00561427">
        <w:rPr>
          <w:rFonts w:ascii="Arial" w:hAnsi="Arial" w:cs="Arial"/>
          <w:b/>
          <w:sz w:val="22"/>
          <w:szCs w:val="22"/>
        </w:rPr>
        <w:t>2021</w:t>
      </w:r>
    </w:p>
    <w:p w:rsidR="008A3533" w:rsidRPr="00561427" w:rsidRDefault="008A3533" w:rsidP="005A2F20">
      <w:pPr>
        <w:jc w:val="center"/>
        <w:rPr>
          <w:rFonts w:ascii="Arial" w:hAnsi="Arial" w:cs="Arial"/>
          <w:b/>
          <w:sz w:val="22"/>
          <w:szCs w:val="22"/>
        </w:rPr>
      </w:pPr>
      <w:r w:rsidRPr="00561427">
        <w:rPr>
          <w:rFonts w:ascii="Arial" w:hAnsi="Arial" w:cs="Arial"/>
          <w:b/>
          <w:sz w:val="22"/>
          <w:szCs w:val="22"/>
        </w:rPr>
        <w:t>Wójta Gminy Lubanie</w:t>
      </w:r>
    </w:p>
    <w:p w:rsidR="008A3533" w:rsidRPr="00561427" w:rsidRDefault="00C14F9F" w:rsidP="005A2F20">
      <w:pPr>
        <w:jc w:val="center"/>
        <w:rPr>
          <w:rFonts w:ascii="Arial" w:hAnsi="Arial" w:cs="Arial"/>
          <w:b/>
          <w:sz w:val="22"/>
          <w:szCs w:val="22"/>
        </w:rPr>
      </w:pPr>
      <w:r w:rsidRPr="00561427">
        <w:rPr>
          <w:rFonts w:ascii="Arial" w:hAnsi="Arial" w:cs="Arial"/>
          <w:b/>
          <w:sz w:val="22"/>
          <w:szCs w:val="22"/>
        </w:rPr>
        <w:t>z dnia 17</w:t>
      </w:r>
      <w:r w:rsidR="00AB2AAF" w:rsidRPr="00561427">
        <w:rPr>
          <w:rFonts w:ascii="Arial" w:hAnsi="Arial" w:cs="Arial"/>
          <w:b/>
          <w:sz w:val="22"/>
          <w:szCs w:val="22"/>
        </w:rPr>
        <w:t xml:space="preserve"> </w:t>
      </w:r>
      <w:r w:rsidRPr="00561427">
        <w:rPr>
          <w:rFonts w:ascii="Arial" w:hAnsi="Arial" w:cs="Arial"/>
          <w:b/>
          <w:sz w:val="22"/>
          <w:szCs w:val="22"/>
        </w:rPr>
        <w:t>grudnia</w:t>
      </w:r>
      <w:r w:rsidR="00AB2AAF" w:rsidRPr="00561427">
        <w:rPr>
          <w:rFonts w:ascii="Arial" w:hAnsi="Arial" w:cs="Arial"/>
          <w:b/>
          <w:sz w:val="22"/>
          <w:szCs w:val="22"/>
        </w:rPr>
        <w:t xml:space="preserve"> 2021</w:t>
      </w:r>
      <w:r w:rsidR="008A3533" w:rsidRPr="00561427">
        <w:rPr>
          <w:rFonts w:ascii="Arial" w:hAnsi="Arial" w:cs="Arial"/>
          <w:b/>
          <w:sz w:val="22"/>
          <w:szCs w:val="22"/>
        </w:rPr>
        <w:t xml:space="preserve"> roku</w:t>
      </w:r>
    </w:p>
    <w:p w:rsidR="008A3533" w:rsidRPr="00561427" w:rsidRDefault="008A3533" w:rsidP="005A2F20">
      <w:pPr>
        <w:rPr>
          <w:rFonts w:ascii="Arial" w:hAnsi="Arial" w:cs="Arial"/>
          <w:sz w:val="22"/>
          <w:szCs w:val="22"/>
        </w:rPr>
      </w:pPr>
    </w:p>
    <w:p w:rsidR="008A3533" w:rsidRPr="00561427" w:rsidRDefault="00C14F9F" w:rsidP="005A2F20">
      <w:pPr>
        <w:spacing w:line="360" w:lineRule="auto"/>
        <w:jc w:val="both"/>
        <w:rPr>
          <w:rFonts w:ascii="Arial" w:hAnsi="Arial" w:cs="Arial"/>
          <w:sz w:val="22"/>
          <w:szCs w:val="22"/>
        </w:rPr>
      </w:pPr>
      <w:r w:rsidRPr="00561427">
        <w:rPr>
          <w:rFonts w:ascii="Arial" w:hAnsi="Arial" w:cs="Arial"/>
          <w:sz w:val="22"/>
          <w:szCs w:val="22"/>
        </w:rPr>
        <w:t xml:space="preserve">zmieniające Zarządzenie nr 0050.34A.2021 Wójta Gminy Lubanie z dnia 28 września 2021 r. </w:t>
      </w:r>
      <w:r w:rsidR="008A3533" w:rsidRPr="00561427">
        <w:rPr>
          <w:rFonts w:ascii="Arial" w:hAnsi="Arial" w:cs="Arial"/>
          <w:sz w:val="22"/>
          <w:szCs w:val="22"/>
        </w:rPr>
        <w:t>w sprawie wprowadzenia zasad (polityki) rachunkowości dla zadania pn. „</w:t>
      </w:r>
      <w:r w:rsidR="00AB2AAF" w:rsidRPr="00561427">
        <w:rPr>
          <w:rFonts w:ascii="Arial" w:hAnsi="Arial" w:cs="Arial"/>
          <w:sz w:val="22"/>
          <w:szCs w:val="22"/>
        </w:rPr>
        <w:t>Przebudowa infrastruktury sportowo-rekreacyjnej w Lubaniu</w:t>
      </w:r>
      <w:r w:rsidR="008A3533" w:rsidRPr="00561427">
        <w:rPr>
          <w:rFonts w:ascii="Arial" w:hAnsi="Arial" w:cs="Arial"/>
          <w:sz w:val="22"/>
          <w:szCs w:val="22"/>
        </w:rPr>
        <w:t>” objętego Programem Rozwoju Obszarów Wiejskich na lata 2014-2020 z udziałem środków Europejskiego Funduszu Rolnego na rzecz Rozwoju Obszarów Wiejskich</w:t>
      </w:r>
    </w:p>
    <w:p w:rsidR="00C14F9F" w:rsidRPr="00561427" w:rsidRDefault="00C14F9F" w:rsidP="005A2F20">
      <w:pPr>
        <w:spacing w:line="360" w:lineRule="auto"/>
        <w:jc w:val="both"/>
        <w:rPr>
          <w:rFonts w:ascii="Arial" w:hAnsi="Arial" w:cs="Arial"/>
          <w:sz w:val="22"/>
          <w:szCs w:val="22"/>
        </w:rPr>
      </w:pPr>
    </w:p>
    <w:p w:rsidR="008A3533" w:rsidRPr="00561427" w:rsidRDefault="008A3533" w:rsidP="005A2F20">
      <w:pPr>
        <w:jc w:val="both"/>
        <w:rPr>
          <w:rFonts w:ascii="Arial" w:hAnsi="Arial" w:cs="Arial"/>
          <w:sz w:val="22"/>
          <w:szCs w:val="22"/>
        </w:rPr>
      </w:pPr>
    </w:p>
    <w:p w:rsidR="008A3533" w:rsidRPr="00561427" w:rsidRDefault="008A3533" w:rsidP="005A2F20">
      <w:pPr>
        <w:spacing w:line="360" w:lineRule="auto"/>
        <w:jc w:val="both"/>
        <w:rPr>
          <w:rFonts w:ascii="Arial" w:hAnsi="Arial" w:cs="Arial"/>
          <w:sz w:val="22"/>
          <w:szCs w:val="22"/>
        </w:rPr>
      </w:pPr>
      <w:r w:rsidRPr="00561427">
        <w:rPr>
          <w:rFonts w:ascii="Arial" w:hAnsi="Arial" w:cs="Arial"/>
          <w:sz w:val="22"/>
          <w:szCs w:val="22"/>
        </w:rPr>
        <w:t>Na podstawie art. 10 ust. 2 ustawy z dnia 29 września 1994 roku o rachunk</w:t>
      </w:r>
      <w:r w:rsidR="00AB2AAF" w:rsidRPr="00561427">
        <w:rPr>
          <w:rFonts w:ascii="Arial" w:hAnsi="Arial" w:cs="Arial"/>
          <w:sz w:val="22"/>
          <w:szCs w:val="22"/>
        </w:rPr>
        <w:t xml:space="preserve">owości             </w:t>
      </w:r>
      <w:r w:rsidR="005A2F20" w:rsidRPr="00561427">
        <w:rPr>
          <w:rFonts w:ascii="Arial" w:hAnsi="Arial" w:cs="Arial"/>
          <w:sz w:val="22"/>
          <w:szCs w:val="22"/>
        </w:rPr>
        <w:t xml:space="preserve">                 </w:t>
      </w:r>
      <w:r w:rsidR="00AB2AAF" w:rsidRPr="00561427">
        <w:rPr>
          <w:rFonts w:ascii="Arial" w:hAnsi="Arial" w:cs="Arial"/>
          <w:sz w:val="22"/>
          <w:szCs w:val="22"/>
        </w:rPr>
        <w:t xml:space="preserve"> (tj. Dz. U. z 2021 roku poz. 217</w:t>
      </w:r>
      <w:r w:rsidRPr="00561427">
        <w:rPr>
          <w:rFonts w:ascii="Arial" w:hAnsi="Arial" w:cs="Arial"/>
          <w:sz w:val="22"/>
          <w:szCs w:val="22"/>
        </w:rPr>
        <w:t>), rozporządzenia Ministra Rozwoju i Finansów z dnia</w:t>
      </w:r>
      <w:r w:rsidR="00AB2AAF" w:rsidRPr="00561427">
        <w:rPr>
          <w:rFonts w:ascii="Arial" w:hAnsi="Arial" w:cs="Arial"/>
          <w:sz w:val="22"/>
          <w:szCs w:val="22"/>
        </w:rPr>
        <w:t xml:space="preserve">           13 września 2017 roku </w:t>
      </w:r>
      <w:r w:rsidRPr="00561427">
        <w:rPr>
          <w:rFonts w:ascii="Arial" w:hAnsi="Arial" w:cs="Arial"/>
          <w:sz w:val="22"/>
          <w:szCs w:val="22"/>
        </w:rPr>
        <w:t>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 j. Dz. U. z 2020 roku poz. 342)</w:t>
      </w:r>
      <w:r w:rsidR="00BD7023" w:rsidRPr="00561427">
        <w:rPr>
          <w:rFonts w:ascii="Arial" w:hAnsi="Arial" w:cs="Arial"/>
          <w:sz w:val="22"/>
          <w:szCs w:val="22"/>
        </w:rPr>
        <w:t xml:space="preserve"> zarządzam co następuje:</w:t>
      </w:r>
    </w:p>
    <w:p w:rsidR="008A3533" w:rsidRPr="00561427" w:rsidRDefault="008A3533" w:rsidP="005A2F20">
      <w:pPr>
        <w:jc w:val="both"/>
        <w:rPr>
          <w:rFonts w:ascii="Arial" w:hAnsi="Arial" w:cs="Arial"/>
          <w:sz w:val="22"/>
          <w:szCs w:val="22"/>
        </w:rPr>
      </w:pPr>
    </w:p>
    <w:p w:rsidR="008A3533" w:rsidRPr="00561427" w:rsidRDefault="008A3533" w:rsidP="005A2F20">
      <w:pPr>
        <w:jc w:val="both"/>
        <w:rPr>
          <w:rFonts w:ascii="Arial" w:hAnsi="Arial" w:cs="Arial"/>
          <w:b/>
          <w:sz w:val="22"/>
          <w:szCs w:val="22"/>
        </w:rPr>
      </w:pPr>
    </w:p>
    <w:p w:rsidR="008A3533" w:rsidRPr="00561427" w:rsidRDefault="008A3533" w:rsidP="00BD7023">
      <w:pPr>
        <w:jc w:val="center"/>
        <w:rPr>
          <w:rFonts w:ascii="Arial" w:hAnsi="Arial" w:cs="Arial"/>
          <w:b/>
          <w:sz w:val="22"/>
          <w:szCs w:val="22"/>
        </w:rPr>
      </w:pPr>
      <w:r w:rsidRPr="00561427">
        <w:rPr>
          <w:rFonts w:ascii="Arial" w:hAnsi="Arial" w:cs="Arial"/>
          <w:b/>
          <w:sz w:val="22"/>
          <w:szCs w:val="22"/>
        </w:rPr>
        <w:t>§ 1</w:t>
      </w:r>
    </w:p>
    <w:p w:rsidR="00AC673A" w:rsidRPr="00561427" w:rsidRDefault="00AC673A" w:rsidP="00BD7023">
      <w:pPr>
        <w:jc w:val="center"/>
        <w:rPr>
          <w:rFonts w:ascii="Arial" w:hAnsi="Arial" w:cs="Arial"/>
          <w:b/>
          <w:sz w:val="22"/>
          <w:szCs w:val="22"/>
        </w:rPr>
      </w:pPr>
    </w:p>
    <w:p w:rsidR="00C14F9F" w:rsidRPr="00561427" w:rsidRDefault="00C14F9F" w:rsidP="00BD7023">
      <w:pPr>
        <w:spacing w:line="360" w:lineRule="auto"/>
        <w:jc w:val="both"/>
        <w:rPr>
          <w:rFonts w:ascii="Arial" w:hAnsi="Arial" w:cs="Arial"/>
          <w:sz w:val="22"/>
          <w:szCs w:val="22"/>
        </w:rPr>
      </w:pPr>
      <w:r w:rsidRPr="00561427">
        <w:rPr>
          <w:rFonts w:ascii="Arial" w:hAnsi="Arial" w:cs="Arial"/>
          <w:b/>
          <w:sz w:val="22"/>
          <w:szCs w:val="22"/>
        </w:rPr>
        <w:t>W zarządzeniu nr 0050.34A.2021</w:t>
      </w:r>
      <w:r w:rsidRPr="00561427">
        <w:rPr>
          <w:rFonts w:ascii="Arial" w:hAnsi="Arial" w:cs="Arial"/>
          <w:sz w:val="22"/>
          <w:szCs w:val="22"/>
        </w:rPr>
        <w:t xml:space="preserve"> Wójta Gminy Lubanie z dnia 28 września 2021 r. </w:t>
      </w:r>
      <w:r w:rsidR="00BD7023" w:rsidRPr="00561427">
        <w:rPr>
          <w:rFonts w:ascii="Arial" w:hAnsi="Arial" w:cs="Arial"/>
          <w:sz w:val="22"/>
          <w:szCs w:val="22"/>
        </w:rPr>
        <w:t xml:space="preserve">                        </w:t>
      </w:r>
      <w:r w:rsidRPr="00561427">
        <w:rPr>
          <w:rFonts w:ascii="Arial" w:hAnsi="Arial" w:cs="Arial"/>
          <w:sz w:val="22"/>
          <w:szCs w:val="22"/>
        </w:rPr>
        <w:t>w sprawie wprowadzenia zasad (polityki) rachunkowości dla zadania pn. „Przebudowa infrastruktury sportowo-rekreacyjnej w Lubaniu” objętego Programem Rozwoju Obszarów Wiejskich na lata 2014-2020 z udziałem środków Europejskiego Funduszu Rolnego na rzecz Rozwoju Obszarów Wiejskich wprowadza się następujące zmiany:</w:t>
      </w:r>
    </w:p>
    <w:p w:rsidR="00777CBA" w:rsidRPr="00561427" w:rsidRDefault="00777CBA" w:rsidP="00BD7023">
      <w:pPr>
        <w:spacing w:line="360" w:lineRule="auto"/>
        <w:jc w:val="both"/>
        <w:rPr>
          <w:rFonts w:ascii="Arial" w:hAnsi="Arial" w:cs="Arial"/>
          <w:sz w:val="22"/>
          <w:szCs w:val="22"/>
        </w:rPr>
      </w:pPr>
    </w:p>
    <w:p w:rsidR="00777CBA" w:rsidRPr="00561427" w:rsidRDefault="00AC673A" w:rsidP="00777CBA">
      <w:pPr>
        <w:spacing w:line="360" w:lineRule="auto"/>
        <w:jc w:val="both"/>
        <w:rPr>
          <w:rFonts w:ascii="Arial" w:hAnsi="Arial" w:cs="Arial"/>
          <w:sz w:val="22"/>
          <w:szCs w:val="22"/>
        </w:rPr>
      </w:pPr>
      <w:r w:rsidRPr="00561427">
        <w:rPr>
          <w:rFonts w:ascii="Arial" w:hAnsi="Arial" w:cs="Arial"/>
          <w:sz w:val="22"/>
          <w:szCs w:val="22"/>
        </w:rPr>
        <w:t xml:space="preserve">1) </w:t>
      </w:r>
      <w:r w:rsidR="00777CBA" w:rsidRPr="00561427">
        <w:rPr>
          <w:rFonts w:ascii="Arial" w:hAnsi="Arial" w:cs="Arial"/>
          <w:sz w:val="22"/>
          <w:szCs w:val="22"/>
        </w:rPr>
        <w:t>Zmienia się n</w:t>
      </w:r>
      <w:r w:rsidRPr="00561427">
        <w:rPr>
          <w:rFonts w:ascii="Arial" w:hAnsi="Arial" w:cs="Arial"/>
          <w:sz w:val="22"/>
          <w:szCs w:val="22"/>
        </w:rPr>
        <w:t>azwa zadania</w:t>
      </w:r>
      <w:r w:rsidR="00777CBA" w:rsidRPr="00561427">
        <w:rPr>
          <w:rFonts w:ascii="Arial" w:hAnsi="Arial" w:cs="Arial"/>
          <w:sz w:val="22"/>
          <w:szCs w:val="22"/>
        </w:rPr>
        <w:t>,</w:t>
      </w:r>
      <w:r w:rsidRPr="00561427">
        <w:rPr>
          <w:rFonts w:ascii="Arial" w:hAnsi="Arial" w:cs="Arial"/>
          <w:sz w:val="22"/>
          <w:szCs w:val="22"/>
        </w:rPr>
        <w:t xml:space="preserve"> dla którego </w:t>
      </w:r>
      <w:r w:rsidR="00777CBA" w:rsidRPr="00561427">
        <w:rPr>
          <w:rFonts w:ascii="Arial" w:hAnsi="Arial" w:cs="Arial"/>
          <w:sz w:val="22"/>
          <w:szCs w:val="22"/>
        </w:rPr>
        <w:t>wprowadzono zasady (polityki ) rachunkowości na: „Przebudowa infrastruktury sportowo-rekreacyjnej w miejscowości Lubanie”.</w:t>
      </w:r>
    </w:p>
    <w:p w:rsidR="00AC673A" w:rsidRPr="00561427" w:rsidRDefault="00AC673A" w:rsidP="00BD7023">
      <w:pPr>
        <w:spacing w:line="360" w:lineRule="auto"/>
        <w:jc w:val="both"/>
        <w:rPr>
          <w:rFonts w:ascii="Arial" w:hAnsi="Arial" w:cs="Arial"/>
          <w:sz w:val="22"/>
          <w:szCs w:val="22"/>
        </w:rPr>
      </w:pPr>
    </w:p>
    <w:p w:rsidR="00C14F9F" w:rsidRPr="00561427" w:rsidRDefault="00777CBA" w:rsidP="00BD7023">
      <w:pPr>
        <w:spacing w:line="360" w:lineRule="auto"/>
        <w:jc w:val="both"/>
        <w:rPr>
          <w:rFonts w:ascii="Arial" w:hAnsi="Arial" w:cs="Arial"/>
          <w:sz w:val="22"/>
          <w:szCs w:val="22"/>
        </w:rPr>
      </w:pPr>
      <w:r w:rsidRPr="00561427">
        <w:rPr>
          <w:rFonts w:ascii="Arial" w:hAnsi="Arial" w:cs="Arial"/>
          <w:sz w:val="22"/>
          <w:szCs w:val="22"/>
        </w:rPr>
        <w:t>2</w:t>
      </w:r>
      <w:r w:rsidR="00C14F9F" w:rsidRPr="00561427">
        <w:rPr>
          <w:rFonts w:ascii="Arial" w:hAnsi="Arial" w:cs="Arial"/>
          <w:sz w:val="22"/>
          <w:szCs w:val="22"/>
        </w:rPr>
        <w:t>) § 1</w:t>
      </w:r>
      <w:r w:rsidRPr="00561427">
        <w:rPr>
          <w:rFonts w:ascii="Arial" w:hAnsi="Arial" w:cs="Arial"/>
          <w:sz w:val="22"/>
          <w:szCs w:val="22"/>
        </w:rPr>
        <w:t xml:space="preserve"> Zarządzenia </w:t>
      </w:r>
      <w:r w:rsidR="00C14F9F" w:rsidRPr="00561427">
        <w:rPr>
          <w:rFonts w:ascii="Arial" w:hAnsi="Arial" w:cs="Arial"/>
          <w:sz w:val="22"/>
          <w:szCs w:val="22"/>
        </w:rPr>
        <w:t>otrzymuje nowe brzmienie:</w:t>
      </w:r>
    </w:p>
    <w:p w:rsidR="008A3533" w:rsidRPr="00561427" w:rsidRDefault="008A3533" w:rsidP="005A2F20">
      <w:pPr>
        <w:spacing w:line="360" w:lineRule="auto"/>
        <w:jc w:val="both"/>
        <w:rPr>
          <w:rFonts w:ascii="Arial" w:hAnsi="Arial" w:cs="Arial"/>
          <w:sz w:val="22"/>
          <w:szCs w:val="22"/>
        </w:rPr>
      </w:pPr>
    </w:p>
    <w:p w:rsidR="008A3533" w:rsidRPr="00561427" w:rsidRDefault="008A3533" w:rsidP="005A2F20">
      <w:pPr>
        <w:spacing w:line="360" w:lineRule="auto"/>
        <w:jc w:val="both"/>
        <w:rPr>
          <w:rFonts w:ascii="Arial" w:hAnsi="Arial" w:cs="Arial"/>
          <w:sz w:val="22"/>
          <w:szCs w:val="22"/>
        </w:rPr>
      </w:pPr>
      <w:r w:rsidRPr="00561427">
        <w:rPr>
          <w:rFonts w:ascii="Arial" w:hAnsi="Arial" w:cs="Arial"/>
          <w:sz w:val="22"/>
          <w:szCs w:val="22"/>
        </w:rPr>
        <w:t>Wprowadza się instrukcję prowadzenia ewidencji oraz sporządzania sprawozdań w zakresie realizacji projektu pn.</w:t>
      </w:r>
      <w:r w:rsidR="00AB2AAF" w:rsidRPr="00561427">
        <w:rPr>
          <w:rFonts w:ascii="Arial" w:hAnsi="Arial" w:cs="Arial"/>
          <w:sz w:val="22"/>
          <w:szCs w:val="22"/>
        </w:rPr>
        <w:t xml:space="preserve"> „Przebudowa infrastruktury sportowo-rekreacyjnej w </w:t>
      </w:r>
      <w:r w:rsidR="00C14F9F" w:rsidRPr="00561427">
        <w:rPr>
          <w:rFonts w:ascii="Arial" w:hAnsi="Arial" w:cs="Arial"/>
          <w:sz w:val="22"/>
          <w:szCs w:val="22"/>
        </w:rPr>
        <w:t>miejscowości Lubanie</w:t>
      </w:r>
      <w:r w:rsidR="00AB2AAF" w:rsidRPr="00561427">
        <w:rPr>
          <w:rFonts w:ascii="Arial" w:hAnsi="Arial" w:cs="Arial"/>
          <w:sz w:val="22"/>
          <w:szCs w:val="22"/>
        </w:rPr>
        <w:t>”</w:t>
      </w:r>
      <w:r w:rsidRPr="00561427">
        <w:rPr>
          <w:rFonts w:ascii="Arial" w:hAnsi="Arial" w:cs="Arial"/>
          <w:sz w:val="22"/>
          <w:szCs w:val="22"/>
        </w:rPr>
        <w:t>.</w:t>
      </w:r>
    </w:p>
    <w:p w:rsidR="00777CBA" w:rsidRPr="00561427" w:rsidRDefault="00777CBA" w:rsidP="005A2F20">
      <w:pPr>
        <w:spacing w:line="360" w:lineRule="auto"/>
        <w:jc w:val="both"/>
        <w:rPr>
          <w:rFonts w:ascii="Arial" w:hAnsi="Arial" w:cs="Arial"/>
          <w:sz w:val="22"/>
          <w:szCs w:val="22"/>
        </w:rPr>
      </w:pP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 xml:space="preserve">2) załącznik nr 1 </w:t>
      </w:r>
      <w:r w:rsidR="00BD7023" w:rsidRPr="00561427">
        <w:rPr>
          <w:rFonts w:ascii="Arial" w:hAnsi="Arial" w:cs="Arial"/>
          <w:sz w:val="22"/>
          <w:szCs w:val="22"/>
        </w:rPr>
        <w:t xml:space="preserve">do Zarządzenia </w:t>
      </w:r>
      <w:r w:rsidRPr="00561427">
        <w:rPr>
          <w:rFonts w:ascii="Arial" w:hAnsi="Arial" w:cs="Arial"/>
          <w:sz w:val="22"/>
          <w:szCs w:val="22"/>
        </w:rPr>
        <w:t>otrzymuje nowe brzmienie:</w:t>
      </w:r>
    </w:p>
    <w:p w:rsidR="005A2F20" w:rsidRPr="00561427" w:rsidRDefault="005A2F20" w:rsidP="005A2F20">
      <w:pPr>
        <w:jc w:val="both"/>
        <w:rPr>
          <w:rFonts w:ascii="Arial" w:hAnsi="Arial" w:cs="Arial"/>
          <w:sz w:val="22"/>
          <w:szCs w:val="22"/>
        </w:rPr>
      </w:pP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lastRenderedPageBreak/>
        <w:t xml:space="preserve">Instrukcja prowadzenia ewidencji oraz sporządzania sprawozdań w zakresie realizacji projektu pn. „Przebudowa infrastruktury sportowo - rekreacyjnej w miejscowości Lubanie” objętego Programem Rozwoju Obszarów Wiejskich na lata 2014-2020 z udziałem środków Europejskiego Funduszu Rolnego na rzecz Rozwoju Obszarów Wiejskich (UM nr </w:t>
      </w:r>
      <w:proofErr w:type="spellStart"/>
      <w:r w:rsidRPr="00561427">
        <w:rPr>
          <w:rFonts w:ascii="Arial" w:hAnsi="Arial" w:cs="Arial"/>
          <w:sz w:val="22"/>
          <w:szCs w:val="22"/>
        </w:rPr>
        <w:t>WS-I</w:t>
      </w:r>
      <w:proofErr w:type="spellEnd"/>
      <w:r w:rsidRPr="00561427">
        <w:rPr>
          <w:rFonts w:ascii="Arial" w:hAnsi="Arial" w:cs="Arial"/>
          <w:sz w:val="22"/>
          <w:szCs w:val="22"/>
        </w:rPr>
        <w:t xml:space="preserve">         -L.052.8.100.1836.2021 "Przebudowa infrastruktury sportowo - rekreacyjnej w miejscowości Lubanie).</w:t>
      </w:r>
    </w:p>
    <w:p w:rsidR="005A2F20" w:rsidRPr="00561427" w:rsidRDefault="005A2F20" w:rsidP="005A2F20">
      <w:pPr>
        <w:numPr>
          <w:ilvl w:val="0"/>
          <w:numId w:val="1"/>
        </w:numPr>
        <w:spacing w:line="360" w:lineRule="auto"/>
        <w:jc w:val="both"/>
        <w:rPr>
          <w:rFonts w:ascii="Arial" w:hAnsi="Arial" w:cs="Arial"/>
          <w:sz w:val="22"/>
          <w:szCs w:val="22"/>
        </w:rPr>
      </w:pPr>
      <w:r w:rsidRPr="00561427">
        <w:rPr>
          <w:rFonts w:ascii="Arial" w:hAnsi="Arial" w:cs="Arial"/>
          <w:sz w:val="22"/>
          <w:szCs w:val="22"/>
        </w:rPr>
        <w:t>Księgi rachunkowe Projektu prowadzone są w jednostce budżetowej tj. Urzędzie Gminy Lubanie zgodnie z zasadami rachunkowości przyjętymi w polityce rachunkowości Urzędu Gminy Lubanie.</w:t>
      </w:r>
    </w:p>
    <w:p w:rsidR="005A2F20" w:rsidRPr="00561427" w:rsidRDefault="005A2F20" w:rsidP="005A2F20">
      <w:pPr>
        <w:numPr>
          <w:ilvl w:val="0"/>
          <w:numId w:val="1"/>
        </w:numPr>
        <w:spacing w:line="360" w:lineRule="auto"/>
        <w:jc w:val="both"/>
        <w:rPr>
          <w:rFonts w:ascii="Arial" w:hAnsi="Arial" w:cs="Arial"/>
          <w:sz w:val="22"/>
          <w:szCs w:val="22"/>
        </w:rPr>
      </w:pPr>
      <w:r w:rsidRPr="00561427">
        <w:rPr>
          <w:rFonts w:ascii="Arial" w:hAnsi="Arial" w:cs="Arial"/>
          <w:sz w:val="22"/>
          <w:szCs w:val="22"/>
        </w:rPr>
        <w:t>Księgi rachunkowe obejmują zbiory zapisów księgowych obrotów i sald, które tworzą: dziennik, księgę główną, zestawienie obrotów i sald kont księgi głównej, wykaz składników aktywów i pasywów.</w:t>
      </w:r>
    </w:p>
    <w:p w:rsidR="005A2F20" w:rsidRPr="00561427" w:rsidRDefault="005A2F20" w:rsidP="005A2F20">
      <w:pPr>
        <w:numPr>
          <w:ilvl w:val="0"/>
          <w:numId w:val="1"/>
        </w:numPr>
        <w:spacing w:line="360" w:lineRule="auto"/>
        <w:jc w:val="both"/>
        <w:rPr>
          <w:rFonts w:ascii="Arial" w:hAnsi="Arial" w:cs="Arial"/>
          <w:sz w:val="22"/>
          <w:szCs w:val="22"/>
        </w:rPr>
      </w:pPr>
      <w:r w:rsidRPr="00561427">
        <w:rPr>
          <w:rFonts w:ascii="Arial" w:hAnsi="Arial" w:cs="Arial"/>
          <w:sz w:val="22"/>
          <w:szCs w:val="22"/>
        </w:rPr>
        <w:t>Podstawę ewidencji księgowej stanowią dowody księgowe (wyciągi bankowe, raporty kasowe, faktury i rachunki, noty księgowe, polecenie księgowania).</w:t>
      </w:r>
    </w:p>
    <w:p w:rsidR="005A2F20" w:rsidRPr="00561427" w:rsidRDefault="005A2F20" w:rsidP="005A2F20">
      <w:pPr>
        <w:numPr>
          <w:ilvl w:val="0"/>
          <w:numId w:val="1"/>
        </w:numPr>
        <w:spacing w:line="360" w:lineRule="auto"/>
        <w:jc w:val="both"/>
        <w:rPr>
          <w:rFonts w:ascii="Arial" w:hAnsi="Arial" w:cs="Arial"/>
          <w:sz w:val="22"/>
          <w:szCs w:val="22"/>
        </w:rPr>
      </w:pPr>
      <w:r w:rsidRPr="00561427">
        <w:rPr>
          <w:rFonts w:ascii="Arial" w:hAnsi="Arial" w:cs="Arial"/>
          <w:sz w:val="22"/>
          <w:szCs w:val="22"/>
        </w:rPr>
        <w:t>Ewidencja zdarzeń gospodarczych związanych z wykonywaniem w/w zadania następować będzie na odrębnych kontach syntetycznych wyodrębnionego rejestru.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W celu identyfikacji dochodów i wydatków związanych z realizacją Projektu korzysta się                 z bilansowych kont wyodrębnionego rejestru.</w:t>
      </w:r>
    </w:p>
    <w:p w:rsidR="005A2F20" w:rsidRPr="00561427" w:rsidRDefault="005A2F20" w:rsidP="005A2F20">
      <w:pPr>
        <w:spacing w:line="360" w:lineRule="auto"/>
        <w:jc w:val="both"/>
        <w:rPr>
          <w:rFonts w:ascii="Arial" w:hAnsi="Arial" w:cs="Arial"/>
          <w:b/>
          <w:sz w:val="22"/>
          <w:szCs w:val="22"/>
        </w:rPr>
      </w:pPr>
      <w:r w:rsidRPr="00561427">
        <w:rPr>
          <w:rFonts w:ascii="Arial" w:hAnsi="Arial" w:cs="Arial"/>
          <w:b/>
          <w:sz w:val="22"/>
          <w:szCs w:val="22"/>
        </w:rPr>
        <w:t>Plan kont</w:t>
      </w:r>
    </w:p>
    <w:p w:rsidR="005A2F20" w:rsidRPr="00561427" w:rsidRDefault="005A2F20" w:rsidP="005A2F20">
      <w:pPr>
        <w:spacing w:line="360" w:lineRule="auto"/>
        <w:jc w:val="both"/>
        <w:rPr>
          <w:rFonts w:ascii="Arial" w:hAnsi="Arial" w:cs="Arial"/>
          <w:sz w:val="22"/>
          <w:szCs w:val="22"/>
          <w:u w:val="single"/>
        </w:rPr>
      </w:pPr>
      <w:r w:rsidRPr="00561427">
        <w:rPr>
          <w:rFonts w:ascii="Arial" w:hAnsi="Arial" w:cs="Arial"/>
          <w:sz w:val="22"/>
          <w:szCs w:val="22"/>
          <w:u w:val="single"/>
        </w:rPr>
        <w:t>ORGAN – GMINA</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133 – Rachunek budżetu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140 – Środki pieniężne w drodze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223 – Rozliczenie wydatków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901 – Dochody budżetu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902 – Wydatki budżetu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960 – Skumulowane wyniki budżetu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961 – Wynik wykonania budżetu</w:t>
      </w:r>
    </w:p>
    <w:p w:rsidR="005A2F20" w:rsidRPr="00561427" w:rsidRDefault="005A2F20" w:rsidP="005A2F20">
      <w:pPr>
        <w:spacing w:line="360" w:lineRule="auto"/>
        <w:jc w:val="both"/>
        <w:rPr>
          <w:rFonts w:ascii="Arial" w:hAnsi="Arial" w:cs="Arial"/>
          <w:sz w:val="22"/>
          <w:szCs w:val="22"/>
          <w:u w:val="single"/>
        </w:rPr>
      </w:pPr>
      <w:r w:rsidRPr="00561427">
        <w:rPr>
          <w:rFonts w:ascii="Arial" w:hAnsi="Arial" w:cs="Arial"/>
          <w:sz w:val="22"/>
          <w:szCs w:val="22"/>
          <w:u w:val="single"/>
        </w:rPr>
        <w:t>JEDNOSTKA – URZĄD GMINY – konta</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011 – Środki trwałe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071 – Umorzenie środków trwałych oraz wartości niematerialnych i prawnych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080 – Środki trwałe w budowie (Inwestycje)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101 - Kasa</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130 – Rachunek bieżący jednostki</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141 - Środki pieniężne w drodze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221 – Należności z tytułu dochodów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223 – Rozliczenie wydatków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240 – Pozostałe rozrachunki</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lastRenderedPageBreak/>
        <w:t>400 – Amortyzacja</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720 – Przychody z tytułu dochodów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750 – Przychody finansowe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800 – Fundusz jednostki</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810 – Dotacje budżetowe, płatności z budżetu środków europejskich oraz środki</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z budżetu na inwestycje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860 – Wynik finansowy</w:t>
      </w:r>
    </w:p>
    <w:p w:rsidR="005A2F20" w:rsidRPr="00561427" w:rsidRDefault="005A2F20" w:rsidP="005A2F20">
      <w:pPr>
        <w:jc w:val="both"/>
        <w:rPr>
          <w:rFonts w:ascii="Arial" w:hAnsi="Arial" w:cs="Arial"/>
          <w:sz w:val="22"/>
          <w:szCs w:val="22"/>
        </w:rPr>
      </w:pPr>
    </w:p>
    <w:p w:rsidR="005A2F20" w:rsidRPr="00561427" w:rsidRDefault="005A2F20" w:rsidP="005A2F20">
      <w:pPr>
        <w:spacing w:line="360" w:lineRule="auto"/>
        <w:jc w:val="both"/>
        <w:rPr>
          <w:rFonts w:ascii="Arial" w:hAnsi="Arial" w:cs="Arial"/>
          <w:sz w:val="22"/>
          <w:szCs w:val="22"/>
          <w:u w:val="single"/>
        </w:rPr>
      </w:pPr>
      <w:r w:rsidRPr="00561427">
        <w:rPr>
          <w:rFonts w:ascii="Arial" w:hAnsi="Arial" w:cs="Arial"/>
          <w:sz w:val="22"/>
          <w:szCs w:val="22"/>
          <w:u w:val="single"/>
        </w:rPr>
        <w:t>KONTA POZABILANSOWE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980 – Plan finansowy wydatków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998 – Zaangażowanie wydatków budżetowych roku bieżącego</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Dla wyodrębnienia projektu ustala się dodatkowe oznaczenia klasyfikacji budżetowej. Przy księgowaniu wszystkich transakcji związanych z realizacją Projektu klasyfikacja budżetowa zawiera dział, rozdział, paragraf zgodnie z obowiązującymi przepisami:</w:t>
      </w:r>
    </w:p>
    <w:p w:rsidR="005A2F20" w:rsidRPr="00561427" w:rsidRDefault="005A2F20" w:rsidP="005A2F20">
      <w:pPr>
        <w:numPr>
          <w:ilvl w:val="0"/>
          <w:numId w:val="2"/>
        </w:numPr>
        <w:spacing w:line="360" w:lineRule="auto"/>
        <w:jc w:val="both"/>
        <w:rPr>
          <w:rFonts w:ascii="Arial" w:hAnsi="Arial" w:cs="Arial"/>
          <w:sz w:val="22"/>
          <w:szCs w:val="22"/>
        </w:rPr>
      </w:pPr>
      <w:r w:rsidRPr="00561427">
        <w:rPr>
          <w:rFonts w:ascii="Arial" w:hAnsi="Arial" w:cs="Arial"/>
          <w:sz w:val="22"/>
          <w:szCs w:val="22"/>
        </w:rPr>
        <w:t>Wydatki i koszty:</w:t>
      </w:r>
    </w:p>
    <w:p w:rsidR="005A2F20" w:rsidRPr="00561427" w:rsidRDefault="005A2F20" w:rsidP="005A2F20">
      <w:pPr>
        <w:spacing w:line="360" w:lineRule="auto"/>
        <w:ind w:left="720"/>
        <w:jc w:val="both"/>
        <w:rPr>
          <w:rFonts w:ascii="Arial" w:hAnsi="Arial" w:cs="Arial"/>
          <w:sz w:val="22"/>
          <w:szCs w:val="22"/>
        </w:rPr>
      </w:pPr>
      <w:r w:rsidRPr="00561427">
        <w:rPr>
          <w:rFonts w:ascii="Arial" w:hAnsi="Arial" w:cs="Arial"/>
          <w:sz w:val="22"/>
          <w:szCs w:val="22"/>
        </w:rPr>
        <w:t>926-92601-6050 - koszty, zaangażowanie, wydatki ze środków własnych,</w:t>
      </w:r>
    </w:p>
    <w:p w:rsidR="005A2F20" w:rsidRPr="00561427" w:rsidRDefault="005A2F20" w:rsidP="005A2F20">
      <w:pPr>
        <w:spacing w:line="360" w:lineRule="auto"/>
        <w:ind w:left="708"/>
        <w:jc w:val="both"/>
        <w:rPr>
          <w:rFonts w:ascii="Arial" w:hAnsi="Arial" w:cs="Arial"/>
          <w:sz w:val="22"/>
          <w:szCs w:val="22"/>
        </w:rPr>
      </w:pPr>
      <w:r w:rsidRPr="00561427">
        <w:rPr>
          <w:rFonts w:ascii="Arial" w:hAnsi="Arial" w:cs="Arial"/>
          <w:sz w:val="22"/>
          <w:szCs w:val="22"/>
        </w:rPr>
        <w:t>926-92601-6057 – koszty, zaangażowanie, wydatki ze środków własnych - dofinansowanie,</w:t>
      </w:r>
    </w:p>
    <w:p w:rsidR="005A2F20" w:rsidRPr="00561427" w:rsidRDefault="005A2F20" w:rsidP="005A2F20">
      <w:pPr>
        <w:spacing w:line="360" w:lineRule="auto"/>
        <w:ind w:left="708"/>
        <w:jc w:val="both"/>
        <w:rPr>
          <w:rFonts w:ascii="Arial" w:hAnsi="Arial" w:cs="Arial"/>
          <w:sz w:val="22"/>
          <w:szCs w:val="22"/>
        </w:rPr>
      </w:pPr>
      <w:r w:rsidRPr="00561427">
        <w:rPr>
          <w:rFonts w:ascii="Arial" w:hAnsi="Arial" w:cs="Arial"/>
          <w:sz w:val="22"/>
          <w:szCs w:val="22"/>
        </w:rPr>
        <w:t>926-92601-6059 – koszty, zaangażowanie, wydatki ze środków własnych,</w:t>
      </w:r>
    </w:p>
    <w:p w:rsidR="005A2F20" w:rsidRPr="00561427" w:rsidRDefault="005A2F20" w:rsidP="005A2F20">
      <w:pPr>
        <w:numPr>
          <w:ilvl w:val="0"/>
          <w:numId w:val="2"/>
        </w:numPr>
        <w:spacing w:line="360" w:lineRule="auto"/>
        <w:jc w:val="both"/>
        <w:rPr>
          <w:rFonts w:ascii="Arial" w:hAnsi="Arial" w:cs="Arial"/>
          <w:sz w:val="22"/>
          <w:szCs w:val="22"/>
        </w:rPr>
      </w:pPr>
      <w:r w:rsidRPr="00561427">
        <w:rPr>
          <w:rFonts w:ascii="Arial" w:hAnsi="Arial" w:cs="Arial"/>
          <w:sz w:val="22"/>
          <w:szCs w:val="22"/>
        </w:rPr>
        <w:t>Dochody:</w:t>
      </w:r>
    </w:p>
    <w:p w:rsidR="005A2F20" w:rsidRPr="00561427" w:rsidRDefault="005A2F20" w:rsidP="005A2F20">
      <w:pPr>
        <w:spacing w:line="360" w:lineRule="auto"/>
        <w:ind w:left="708"/>
        <w:jc w:val="both"/>
        <w:rPr>
          <w:rFonts w:ascii="Arial" w:hAnsi="Arial" w:cs="Arial"/>
          <w:sz w:val="22"/>
          <w:szCs w:val="22"/>
        </w:rPr>
      </w:pPr>
      <w:r w:rsidRPr="00561427">
        <w:rPr>
          <w:rFonts w:ascii="Arial" w:hAnsi="Arial" w:cs="Arial"/>
          <w:sz w:val="22"/>
          <w:szCs w:val="22"/>
        </w:rPr>
        <w:t>926-92601-6297 - pomoc finansowa przyznana na realizację operacji z publicznych środków krajowych i unijnych tj. z udziałem środków Europejskiego Funduszu Rolnego na rzecz Rozwoju Obszarów Wiejskich w ramach Programu Rozwoju Obszarów Wiejskich  na lata 2014-2020.</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 xml:space="preserve">Opis szczegółowy klasyfikacji zawiera rozporządzenie Ministra Finansów z dnia 2 marca 2010 roku w sprawie szczegółowej klasyfikacji dochodów, wydatków, przychodów                  i rozchodów oraz środków pochodzących ze źródeł zagranicznych (tj. Dz. U. z 2014 roku, poz. 1053 z </w:t>
      </w:r>
      <w:proofErr w:type="spellStart"/>
      <w:r w:rsidRPr="00561427">
        <w:rPr>
          <w:rFonts w:ascii="Arial" w:hAnsi="Arial" w:cs="Arial"/>
          <w:sz w:val="22"/>
          <w:szCs w:val="22"/>
        </w:rPr>
        <w:t>późn</w:t>
      </w:r>
      <w:proofErr w:type="spellEnd"/>
      <w:r w:rsidRPr="00561427">
        <w:rPr>
          <w:rFonts w:ascii="Arial" w:hAnsi="Arial" w:cs="Arial"/>
          <w:sz w:val="22"/>
          <w:szCs w:val="22"/>
        </w:rPr>
        <w:t xml:space="preserve">. </w:t>
      </w:r>
      <w:proofErr w:type="spellStart"/>
      <w:r w:rsidRPr="00561427">
        <w:rPr>
          <w:rFonts w:ascii="Arial" w:hAnsi="Arial" w:cs="Arial"/>
          <w:sz w:val="22"/>
          <w:szCs w:val="22"/>
        </w:rPr>
        <w:t>zm</w:t>
      </w:r>
      <w:proofErr w:type="spellEnd"/>
      <w:r w:rsidRPr="00561427">
        <w:rPr>
          <w:rFonts w:ascii="Arial" w:hAnsi="Arial" w:cs="Arial"/>
          <w:sz w:val="22"/>
          <w:szCs w:val="22"/>
        </w:rPr>
        <w:t xml:space="preserve"> ).</w:t>
      </w:r>
    </w:p>
    <w:p w:rsidR="005A2F20" w:rsidRPr="00561427" w:rsidRDefault="005A2F20" w:rsidP="005A2F20">
      <w:pPr>
        <w:numPr>
          <w:ilvl w:val="0"/>
          <w:numId w:val="3"/>
        </w:numPr>
        <w:spacing w:line="360" w:lineRule="auto"/>
        <w:jc w:val="both"/>
        <w:rPr>
          <w:rFonts w:ascii="Arial" w:hAnsi="Arial" w:cs="Arial"/>
          <w:sz w:val="22"/>
          <w:szCs w:val="22"/>
        </w:rPr>
      </w:pPr>
      <w:r w:rsidRPr="00561427">
        <w:rPr>
          <w:rFonts w:ascii="Arial" w:hAnsi="Arial" w:cs="Arial"/>
          <w:sz w:val="22"/>
          <w:szCs w:val="22"/>
        </w:rPr>
        <w:t>Wyodrębniona ewidencja księgowa prowadzona jest przy użyciu komputera                        w systemie BUDŻET dla jednostki Urzędu Gminy i stanowi podstawę rozliczenia umowy projektu.</w:t>
      </w:r>
    </w:p>
    <w:p w:rsidR="005A2F20" w:rsidRPr="00561427" w:rsidRDefault="005A2F20" w:rsidP="005A2F20">
      <w:pPr>
        <w:numPr>
          <w:ilvl w:val="0"/>
          <w:numId w:val="3"/>
        </w:numPr>
        <w:spacing w:line="360" w:lineRule="auto"/>
        <w:jc w:val="both"/>
        <w:rPr>
          <w:rFonts w:ascii="Arial" w:hAnsi="Arial" w:cs="Arial"/>
          <w:sz w:val="22"/>
          <w:szCs w:val="22"/>
        </w:rPr>
      </w:pPr>
      <w:r w:rsidRPr="00561427">
        <w:rPr>
          <w:rFonts w:ascii="Arial" w:hAnsi="Arial" w:cs="Arial"/>
          <w:sz w:val="22"/>
          <w:szCs w:val="22"/>
        </w:rPr>
        <w:t xml:space="preserve">Środki pochodzące z budżetu środków europejskich stanowią bezzwrotną pomoc przeznaczoną na pokrycie wydatków </w:t>
      </w:r>
      <w:proofErr w:type="spellStart"/>
      <w:r w:rsidRPr="00561427">
        <w:rPr>
          <w:rFonts w:ascii="Arial" w:hAnsi="Arial" w:cs="Arial"/>
          <w:sz w:val="22"/>
          <w:szCs w:val="22"/>
        </w:rPr>
        <w:t>kwalifikowalnych</w:t>
      </w:r>
      <w:proofErr w:type="spellEnd"/>
      <w:r w:rsidRPr="00561427">
        <w:rPr>
          <w:rFonts w:ascii="Arial" w:hAnsi="Arial" w:cs="Arial"/>
          <w:sz w:val="22"/>
          <w:szCs w:val="22"/>
        </w:rPr>
        <w:t xml:space="preserve"> ponoszonych w związku          z realizacją Projektu i stanowią formę pomocy finansowej jako dochód budżetu gminy.</w:t>
      </w:r>
    </w:p>
    <w:p w:rsidR="005A2F20" w:rsidRPr="00561427" w:rsidRDefault="005A2F20" w:rsidP="005A2F20">
      <w:pPr>
        <w:numPr>
          <w:ilvl w:val="0"/>
          <w:numId w:val="3"/>
        </w:numPr>
        <w:spacing w:line="360" w:lineRule="auto"/>
        <w:jc w:val="both"/>
        <w:rPr>
          <w:rFonts w:ascii="Arial" w:hAnsi="Arial" w:cs="Arial"/>
          <w:sz w:val="22"/>
          <w:szCs w:val="22"/>
        </w:rPr>
      </w:pPr>
      <w:r w:rsidRPr="00561427">
        <w:rPr>
          <w:rFonts w:ascii="Arial" w:hAnsi="Arial" w:cs="Arial"/>
          <w:sz w:val="22"/>
          <w:szCs w:val="22"/>
        </w:rPr>
        <w:lastRenderedPageBreak/>
        <w:t>Urząd prowadzi wyodrębniony rachunek bankowy dla dochodów i wydatków budżetowych, na którym ewidencjonowane będą operacje związane z realizacją Projektu.</w:t>
      </w:r>
    </w:p>
    <w:p w:rsidR="005A2F20" w:rsidRPr="00561427" w:rsidRDefault="005A2F20" w:rsidP="005A2F20">
      <w:pPr>
        <w:spacing w:line="360" w:lineRule="auto"/>
        <w:jc w:val="both"/>
        <w:rPr>
          <w:rFonts w:ascii="Arial" w:hAnsi="Arial" w:cs="Arial"/>
          <w:sz w:val="22"/>
          <w:szCs w:val="22"/>
        </w:rPr>
      </w:pPr>
    </w:p>
    <w:p w:rsidR="005A2F20" w:rsidRPr="00561427" w:rsidRDefault="005A2F20" w:rsidP="005A2F20">
      <w:pPr>
        <w:spacing w:line="360" w:lineRule="auto"/>
        <w:jc w:val="both"/>
        <w:rPr>
          <w:rFonts w:ascii="Arial" w:hAnsi="Arial" w:cs="Arial"/>
          <w:sz w:val="22"/>
          <w:szCs w:val="22"/>
          <w:u w:val="single"/>
        </w:rPr>
      </w:pPr>
      <w:r w:rsidRPr="00561427">
        <w:rPr>
          <w:rFonts w:ascii="Arial" w:hAnsi="Arial" w:cs="Arial"/>
          <w:sz w:val="22"/>
          <w:szCs w:val="22"/>
          <w:u w:val="single"/>
        </w:rPr>
        <w:t>Sprawozdawczość</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Prowadzona ewidencja winna umożliwić sporządzenie sprawozdań określonych:</w:t>
      </w:r>
    </w:p>
    <w:p w:rsidR="005A2F20" w:rsidRPr="00561427" w:rsidRDefault="005A2F20" w:rsidP="005A2F20">
      <w:pPr>
        <w:numPr>
          <w:ilvl w:val="0"/>
          <w:numId w:val="4"/>
        </w:numPr>
        <w:spacing w:line="360" w:lineRule="auto"/>
        <w:jc w:val="both"/>
        <w:rPr>
          <w:rFonts w:ascii="Arial" w:hAnsi="Arial" w:cs="Arial"/>
          <w:sz w:val="22"/>
          <w:szCs w:val="22"/>
        </w:rPr>
      </w:pPr>
      <w:r w:rsidRPr="00561427">
        <w:rPr>
          <w:rFonts w:ascii="Arial" w:hAnsi="Arial" w:cs="Arial"/>
          <w:sz w:val="22"/>
          <w:szCs w:val="22"/>
        </w:rPr>
        <w:t>w rozporządzeniu Ministra Rozwoju i Finansów z dnia 9 stycznia 2018 r. w sprawie sprawozdawczości budżetowej (Dz. U. z 2020 roku poz. 1564) a dotyczących m.in.:</w:t>
      </w:r>
    </w:p>
    <w:p w:rsidR="005A2F20" w:rsidRPr="00561427" w:rsidRDefault="005A2F20" w:rsidP="005A2F20">
      <w:pPr>
        <w:numPr>
          <w:ilvl w:val="0"/>
          <w:numId w:val="5"/>
        </w:numPr>
        <w:spacing w:line="360" w:lineRule="auto"/>
        <w:jc w:val="both"/>
        <w:rPr>
          <w:rFonts w:ascii="Arial" w:hAnsi="Arial" w:cs="Arial"/>
          <w:sz w:val="22"/>
          <w:szCs w:val="22"/>
        </w:rPr>
      </w:pPr>
      <w:r w:rsidRPr="00561427">
        <w:rPr>
          <w:rFonts w:ascii="Arial" w:hAnsi="Arial" w:cs="Arial"/>
          <w:sz w:val="22"/>
          <w:szCs w:val="22"/>
        </w:rPr>
        <w:t>sprawozdania Rb-27S miesięczne/ roczne z wykonania planu dochodów budżetowych jednostki samorządu terytorialnego,</w:t>
      </w:r>
    </w:p>
    <w:p w:rsidR="005A2F20" w:rsidRPr="00561427" w:rsidRDefault="005A2F20" w:rsidP="005A2F20">
      <w:pPr>
        <w:numPr>
          <w:ilvl w:val="0"/>
          <w:numId w:val="5"/>
        </w:numPr>
        <w:spacing w:line="360" w:lineRule="auto"/>
        <w:jc w:val="both"/>
        <w:rPr>
          <w:rFonts w:ascii="Arial" w:hAnsi="Arial" w:cs="Arial"/>
          <w:sz w:val="22"/>
          <w:szCs w:val="22"/>
        </w:rPr>
      </w:pPr>
      <w:r w:rsidRPr="00561427">
        <w:rPr>
          <w:rFonts w:ascii="Arial" w:hAnsi="Arial" w:cs="Arial"/>
          <w:sz w:val="22"/>
          <w:szCs w:val="22"/>
        </w:rPr>
        <w:t>sprawozdania Rb-28S miesięczne/ roczne z wykonania planu wydatków budżetowych jednostki samorządu terytorialnego</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b) w rozporządzeniu Ministra Rozwoju i Finansów z dnia  13 września 2017 roku w sprawie</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rachunkowości  oraz  planów kont  dla budżetu państwa, budżetów jednostek samorządu</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terytorialnego,    jednostek    budżetowych,   samorządowych   zakładów    budżetowych,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państwowych  funduszy  celowych  oraz państwowych jednostek budżetowych mających</w:t>
      </w: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siedzibę  poza  granicami  Rzeczypospolitej  Polskiej  (</w:t>
      </w:r>
      <w:proofErr w:type="spellStart"/>
      <w:r w:rsidRPr="00561427">
        <w:rPr>
          <w:rFonts w:ascii="Arial" w:hAnsi="Arial" w:cs="Arial"/>
          <w:sz w:val="22"/>
          <w:szCs w:val="22"/>
        </w:rPr>
        <w:t>t.j</w:t>
      </w:r>
      <w:proofErr w:type="spellEnd"/>
      <w:r w:rsidRPr="00561427">
        <w:rPr>
          <w:rFonts w:ascii="Arial" w:hAnsi="Arial" w:cs="Arial"/>
          <w:sz w:val="22"/>
          <w:szCs w:val="22"/>
        </w:rPr>
        <w:t>. Dz. U. z 2020 roku poz. 342).</w:t>
      </w:r>
    </w:p>
    <w:p w:rsidR="005A2F20" w:rsidRPr="00561427" w:rsidRDefault="005A2F20" w:rsidP="005A2F20">
      <w:pPr>
        <w:jc w:val="both"/>
        <w:rPr>
          <w:rFonts w:ascii="Arial" w:hAnsi="Arial" w:cs="Arial"/>
          <w:sz w:val="22"/>
          <w:szCs w:val="22"/>
        </w:rPr>
      </w:pPr>
    </w:p>
    <w:p w:rsidR="005A2F20" w:rsidRPr="00561427" w:rsidRDefault="005A2F20" w:rsidP="00777CBA">
      <w:pPr>
        <w:jc w:val="center"/>
        <w:rPr>
          <w:rFonts w:ascii="Arial" w:hAnsi="Arial" w:cs="Arial"/>
          <w:sz w:val="22"/>
          <w:szCs w:val="22"/>
        </w:rPr>
      </w:pPr>
      <w:r w:rsidRPr="00561427">
        <w:rPr>
          <w:rFonts w:ascii="Arial" w:hAnsi="Arial" w:cs="Arial"/>
          <w:sz w:val="22"/>
          <w:szCs w:val="22"/>
        </w:rPr>
        <w:t>§2</w:t>
      </w:r>
    </w:p>
    <w:p w:rsidR="00777CBA" w:rsidRPr="00561427" w:rsidRDefault="00777CBA" w:rsidP="00777CBA">
      <w:pPr>
        <w:jc w:val="center"/>
        <w:rPr>
          <w:rFonts w:ascii="Arial" w:hAnsi="Arial" w:cs="Arial"/>
          <w:sz w:val="22"/>
          <w:szCs w:val="22"/>
        </w:rPr>
      </w:pPr>
    </w:p>
    <w:p w:rsidR="005A2F20" w:rsidRPr="00561427" w:rsidRDefault="005A2F20" w:rsidP="005A2F20">
      <w:pPr>
        <w:spacing w:line="360" w:lineRule="auto"/>
        <w:jc w:val="both"/>
        <w:rPr>
          <w:rFonts w:ascii="Arial" w:hAnsi="Arial" w:cs="Arial"/>
          <w:sz w:val="22"/>
          <w:szCs w:val="22"/>
        </w:rPr>
      </w:pPr>
      <w:r w:rsidRPr="00561427">
        <w:rPr>
          <w:rFonts w:ascii="Arial" w:hAnsi="Arial" w:cs="Arial"/>
          <w:sz w:val="22"/>
          <w:szCs w:val="22"/>
        </w:rPr>
        <w:t>Zarządzenie wchodzi w życie z dniem podjęcia.</w:t>
      </w:r>
    </w:p>
    <w:p w:rsidR="00EA5C90" w:rsidRPr="00561427" w:rsidRDefault="00EA5C90" w:rsidP="005A2F20">
      <w:pPr>
        <w:jc w:val="both"/>
        <w:rPr>
          <w:rFonts w:ascii="Arial" w:hAnsi="Arial" w:cs="Arial"/>
          <w:sz w:val="22"/>
          <w:szCs w:val="22"/>
        </w:rPr>
      </w:pPr>
    </w:p>
    <w:p w:rsidR="005A2F20" w:rsidRPr="00561427" w:rsidRDefault="005A2F20" w:rsidP="005A2F20">
      <w:pPr>
        <w:jc w:val="both"/>
        <w:rPr>
          <w:rFonts w:ascii="Arial" w:hAnsi="Arial" w:cs="Arial"/>
          <w:sz w:val="22"/>
          <w:szCs w:val="22"/>
        </w:rPr>
      </w:pPr>
    </w:p>
    <w:sectPr w:rsidR="005A2F20" w:rsidRPr="00561427" w:rsidSect="00EA5C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57E5"/>
    <w:multiLevelType w:val="hybridMultilevel"/>
    <w:tmpl w:val="B6FE9EC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40291434"/>
    <w:multiLevelType w:val="hybridMultilevel"/>
    <w:tmpl w:val="632C2588"/>
    <w:lvl w:ilvl="0" w:tplc="04150001">
      <w:start w:val="1"/>
      <w:numFmt w:val="bullet"/>
      <w:lvlText w:val=""/>
      <w:lvlJc w:val="left"/>
      <w:pPr>
        <w:ind w:left="213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47D16C50"/>
    <w:multiLevelType w:val="hybridMultilevel"/>
    <w:tmpl w:val="956CE42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48A814FE"/>
    <w:multiLevelType w:val="hybridMultilevel"/>
    <w:tmpl w:val="311669C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E03074A"/>
    <w:multiLevelType w:val="hybridMultilevel"/>
    <w:tmpl w:val="B7BC3B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A3533"/>
    <w:rsid w:val="00561427"/>
    <w:rsid w:val="005A2F20"/>
    <w:rsid w:val="006A026C"/>
    <w:rsid w:val="00777CBA"/>
    <w:rsid w:val="008A3533"/>
    <w:rsid w:val="00900242"/>
    <w:rsid w:val="0096505A"/>
    <w:rsid w:val="00AB2AAF"/>
    <w:rsid w:val="00AC673A"/>
    <w:rsid w:val="00BD7023"/>
    <w:rsid w:val="00C14F9F"/>
    <w:rsid w:val="00EA5C90"/>
    <w:rsid w:val="00EA73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353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4F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04416090">
      <w:bodyDiv w:val="1"/>
      <w:marLeft w:val="0"/>
      <w:marRight w:val="0"/>
      <w:marTop w:val="0"/>
      <w:marBottom w:val="0"/>
      <w:divBdr>
        <w:top w:val="none" w:sz="0" w:space="0" w:color="auto"/>
        <w:left w:val="none" w:sz="0" w:space="0" w:color="auto"/>
        <w:bottom w:val="none" w:sz="0" w:space="0" w:color="auto"/>
        <w:right w:val="none" w:sz="0" w:space="0" w:color="auto"/>
      </w:divBdr>
    </w:div>
    <w:div w:id="12984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958</Words>
  <Characters>5750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dc:creator>
  <cp:lastModifiedBy>Piotrek</cp:lastModifiedBy>
  <cp:revision>5</cp:revision>
  <cp:lastPrinted>2021-12-20T12:25:00Z</cp:lastPrinted>
  <dcterms:created xsi:type="dcterms:W3CDTF">2021-10-27T08:21:00Z</dcterms:created>
  <dcterms:modified xsi:type="dcterms:W3CDTF">2021-12-29T08:47:00Z</dcterms:modified>
</cp:coreProperties>
</file>